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center"/>
      </w:pPr>
      <w:r>
        <w:rPr>
          <w:rFonts w:ascii="Arial" w:cs="Arial" w:eastAsia="Arial" w:hAnsi="Arial"/>
          <w:b/>
          <w:bCs/>
          <w:color w:val="0D2137"/>
          <w:sz w:val="72"/>
          <w:szCs w:val="72"/>
        </w:rPr>
        <w:t xml:space="preserve">HealthAgent</w:t>
      </w:r>
    </w:p>
    <w:p>
      <w:pPr>
        <w:spacing w:after="80"/>
        <w:jc w:val="center"/>
      </w:pPr>
      <w:r>
        <w:rPr>
          <w:rFonts w:ascii="Arial" w:cs="Arial" w:eastAsia="Arial" w:hAnsi="Arial"/>
          <w:color w:val="0A7C6C"/>
          <w:sz w:val="28"/>
          <w:szCs w:val="28"/>
        </w:rPr>
        <w:t xml:space="preserve">AI-Powered Personal Health Monitoring via Wearable Continuous Data</w:t>
      </w:r>
    </w:p>
    <w:p>
      <w:pPr>
        <w:spacing w:after="80"/>
      </w:pPr>
      <w:r>
        <w:t xml:space="preserve"/>
      </w:r>
    </w:p>
    <w:p>
      <w:pPr>
        <w:spacing w:after="40"/>
        <w:jc w:val="center"/>
      </w:pPr>
      <w:r>
        <w:rPr>
          <w:rFonts w:ascii="Arial" w:cs="Arial" w:eastAsia="Arial" w:hAnsi="Arial"/>
          <w:color w:val="888888"/>
          <w:sz w:val="22"/>
          <w:szCs w:val="22"/>
        </w:rPr>
        <w:t xml:space="preserve">AI Agent Course — Final Project Report</w:t>
      </w:r>
    </w:p>
    <w:p>
      <w:pPr>
        <w:spacing w:after="600"/>
        <w:jc w:val="center"/>
      </w:pPr>
      <w:r>
        <w:rPr>
          <w:rFonts w:ascii="Arial" w:cs="Arial" w:eastAsia="Arial" w:hAnsi="Arial"/>
          <w:color w:val="888888"/>
          <w:sz w:val="22"/>
          <w:szCs w:val="22"/>
        </w:rPr>
        <w:t xml:space="preserve">April 2026</w:t>
      </w:r>
    </w:p>
    <w:p>
      <w:r>
        <w:br w:type="page"/>
      </w:r>
    </w:p>
    <w:p>
      <w:pPr>
        <w:pStyle w:val="Heading1"/>
        <w:spacing w:after="160" w:before="320"/>
      </w:pPr>
      <w:r>
        <w:rPr>
          <w:rFonts w:ascii="Arial" w:cs="Arial" w:eastAsia="Arial" w:hAnsi="Arial"/>
          <w:b/>
          <w:bCs/>
          <w:color w:val="0D2137"/>
          <w:sz w:val="32"/>
          <w:szCs w:val="32"/>
        </w:rPr>
        <w:t xml:space="preserve">1. Introduction</w:t>
      </w:r>
    </w:p>
    <w:p>
      <w:pPr>
        <w:spacing w:after="120" w:line="320"/>
      </w:pPr>
      <w:r>
        <w:rPr>
          <w:rFonts w:ascii="Arial" w:cs="Arial" w:eastAsia="Arial" w:hAnsi="Arial"/>
          <w:color w:val="2D3748"/>
          <w:sz w:val="22"/>
          <w:szCs w:val="22"/>
        </w:rPr>
        <w:t xml:space="preserve">HealthAgent is an LLM-driven AI agent that continuously monitors simulated wearable device data, performs multi-step health reasoning, and delivers personalized daily recommendations. Unlike conventional health applications that passively display raw metrics, HealthAgent implements a full perception-reasoning-action-feedback loop, embodying the core principles of autonomous AI agent design.</w:t>
      </w:r>
    </w:p>
    <w:p>
      <w:pPr>
        <w:spacing w:after="80"/>
      </w:pPr>
      <w:r>
        <w:t xml:space="preserve"/>
      </w:r>
    </w:p>
    <w:p>
      <w:pPr>
        <w:spacing w:after="120" w:line="320"/>
      </w:pPr>
      <w:r>
        <w:rPr>
          <w:rFonts w:ascii="Arial" w:cs="Arial" w:eastAsia="Arial" w:hAnsi="Arial"/>
          <w:color w:val="2D3748"/>
          <w:sz w:val="22"/>
          <w:szCs w:val="22"/>
        </w:rPr>
        <w:t xml:space="preserve">The system addresses three key limitations of existing health monitoring tools:</w:t>
      </w:r>
    </w:p>
    <w:p>
      <w:pPr>
        <w:pStyle w:val="ListParagraph"/>
        <w:numPr>
          <w:ilvl w:val="0"/>
          <w:numId w:val="2"/>
        </w:numPr>
        <w:spacing w:after="80" w:line="300"/>
      </w:pPr>
      <w:r>
        <w:rPr>
          <w:rFonts w:ascii="Arial" w:cs="Arial" w:eastAsia="Arial" w:hAnsi="Arial"/>
          <w:color w:val="2D3748"/>
          <w:sz w:val="22"/>
          <w:szCs w:val="22"/>
        </w:rPr>
        <w:t xml:space="preserve">Data abundance without actionable insight — wearables generate rich streams but users lack tools to interpret them in context.</w:t>
      </w:r>
    </w:p>
    <w:p>
      <w:pPr>
        <w:pStyle w:val="ListParagraph"/>
        <w:numPr>
          <w:ilvl w:val="0"/>
          <w:numId w:val="2"/>
        </w:numPr>
        <w:spacing w:after="80" w:line="300"/>
      </w:pPr>
      <w:r>
        <w:rPr>
          <w:rFonts w:ascii="Arial" w:cs="Arial" w:eastAsia="Arial" w:hAnsi="Arial"/>
          <w:color w:val="2D3748"/>
          <w:sz w:val="22"/>
          <w:szCs w:val="22"/>
        </w:rPr>
        <w:t xml:space="preserve">Reactive-only design — existing apps only respond when users ask; they cannot proactively detect and alert on emerging health patterns.</w:t>
      </w:r>
    </w:p>
    <w:p>
      <w:pPr>
        <w:pStyle w:val="ListParagraph"/>
        <w:numPr>
          <w:ilvl w:val="0"/>
          <w:numId w:val="2"/>
        </w:numPr>
        <w:spacing w:after="80" w:line="300"/>
      </w:pPr>
      <w:r>
        <w:rPr>
          <w:rFonts w:ascii="Arial" w:cs="Arial" w:eastAsia="Arial" w:hAnsi="Arial"/>
          <w:color w:val="2D3748"/>
          <w:sz w:val="22"/>
          <w:szCs w:val="22"/>
        </w:rPr>
        <w:t xml:space="preserve">No personalization memory — advice is generic and does not adapt to individual user preferences or feedback over time.</w:t>
      </w:r>
    </w:p>
    <w:p>
      <w:pPr>
        <w:spacing w:after="160"/>
      </w:pPr>
      <w:r>
        <w:t xml:space="preserve"/>
      </w:r>
    </w:p>
    <w:p>
      <w:pPr>
        <w:pStyle w:val="Heading1"/>
        <w:spacing w:after="160" w:before="320"/>
      </w:pPr>
      <w:r>
        <w:rPr>
          <w:rFonts w:ascii="Arial" w:cs="Arial" w:eastAsia="Arial" w:hAnsi="Arial"/>
          <w:b/>
          <w:bCs/>
          <w:color w:val="0D2137"/>
          <w:sz w:val="32"/>
          <w:szCs w:val="32"/>
        </w:rPr>
        <w:t xml:space="preserve">2. System Architecture Overview</w:t>
      </w:r>
    </w:p>
    <w:p>
      <w:pPr>
        <w:spacing w:after="120" w:line="320"/>
      </w:pPr>
      <w:r>
        <w:rPr>
          <w:rFonts w:ascii="Arial" w:cs="Arial" w:eastAsia="Arial" w:hAnsi="Arial"/>
          <w:color w:val="2D3748"/>
          <w:sz w:val="22"/>
          <w:szCs w:val="22"/>
        </w:rPr>
        <w:t xml:space="preserve">HealthAgent is organized into six functional layers, each with a distinct responsibility. Data flows upward from raw inputs through perception and reasoning to output, with a feedback loop returning user signals back into the agent's memory.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AF3DE" w:val="clear"/>
            <w:tcMar>
              <w:top w:type="dxa" w:w="100"/>
              <w:left w:type="dxa" w:w="160"/>
              <w:bottom w:type="dxa" w:w="100"/>
              <w:right w:type="dxa" w:w="160"/>
            </w:tcMar>
          </w:tcPr>
          <w:p>
            <w:r>
              <w:rPr>
                <w:rFonts w:ascii="Arial" w:cs="Arial" w:eastAsia="Arial" w:hAnsi="Arial"/>
                <w:b/>
                <w:bCs/>
                <w:color w:val="27500A"/>
                <w:sz w:val="21"/>
                <w:szCs w:val="21"/>
              </w:rPr>
              <w:t xml:space="preserve">Layer 5 · Feedback &amp; Adaptation</w:t>
            </w:r>
          </w:p>
          <w:p>
            <w:pPr>
              <w:spacing w:after="0"/>
            </w:pPr>
            <w:r>
              <w:rPr>
                <w:rFonts w:ascii="Arial" w:cs="Arial" w:eastAsia="Arial" w:hAnsi="Arial"/>
                <w:color w:val="555555"/>
                <w:sz w:val="18"/>
                <w:szCs w:val="18"/>
              </w:rPr>
              <w:t xml:space="preserve">Explicit feedback · Preference updater · Implicit signal · Memory consolidation</w:t>
            </w:r>
          </w:p>
        </w:tc>
      </w:tr>
      <w:tr>
        <w:tc>
          <w:tcPr>
            <w:tcW w:type="dxa" w:w="9360"/>
            <w:tcBorders>
              <w:top w:val="single" w:color="E2E8F0" w:sz="1"/>
              <w:left w:val="single" w:color="E2E8F0" w:sz="1"/>
              <w:bottom w:val="single" w:color="E2E8F0" w:sz="1"/>
              <w:right w:val="single" w:color="E2E8F0" w:sz="1"/>
            </w:tcBorders>
            <w:shd w:fill="FAECE7" w:val="clear"/>
            <w:tcMar>
              <w:top w:type="dxa" w:w="100"/>
              <w:left w:type="dxa" w:w="160"/>
              <w:bottom w:type="dxa" w:w="100"/>
              <w:right w:type="dxa" w:w="160"/>
            </w:tcMar>
          </w:tcPr>
          <w:p>
            <w:r>
              <w:rPr>
                <w:rFonts w:ascii="Arial" w:cs="Arial" w:eastAsia="Arial" w:hAnsi="Arial"/>
                <w:b/>
                <w:bCs/>
                <w:color w:val="712B13"/>
                <w:sz w:val="21"/>
                <w:szCs w:val="21"/>
              </w:rPr>
              <w:t xml:space="preserve">Layer 4 · Action &amp; Output</w:t>
            </w:r>
          </w:p>
          <w:p>
            <w:pPr>
              <w:spacing w:after="0"/>
            </w:pPr>
            <w:r>
              <w:rPr>
                <w:rFonts w:ascii="Arial" w:cs="Arial" w:eastAsia="Arial" w:hAnsi="Arial"/>
                <w:color w:val="555555"/>
                <w:sz w:val="18"/>
                <w:szCs w:val="18"/>
              </w:rPr>
              <w:t xml:space="preserve">Daily advice · Proactive alert · Conversational QA · Weekly report</w:t>
            </w:r>
          </w:p>
        </w:tc>
      </w:tr>
      <w:tr>
        <w:tc>
          <w:tcPr>
            <w:tcW w:type="dxa" w:w="9360"/>
            <w:tcBorders>
              <w:top w:val="single" w:color="E2E8F0" w:sz="1"/>
              <w:left w:val="single" w:color="E2E8F0" w:sz="1"/>
              <w:bottom w:val="single" w:color="E2E8F0" w:sz="1"/>
              <w:right w:val="single" w:color="E2E8F0" w:sz="1"/>
            </w:tcBorders>
            <w:shd w:fill="FAEEDA" w:val="clear"/>
            <w:tcMar>
              <w:top w:type="dxa" w:w="100"/>
              <w:left w:type="dxa" w:w="160"/>
              <w:bottom w:type="dxa" w:w="100"/>
              <w:right w:type="dxa" w:w="160"/>
            </w:tcMar>
          </w:tcPr>
          <w:p>
            <w:r>
              <w:rPr>
                <w:rFonts w:ascii="Arial" w:cs="Arial" w:eastAsia="Arial" w:hAnsi="Arial"/>
                <w:b/>
                <w:bCs/>
                <w:color w:val="633806"/>
                <w:sz w:val="21"/>
                <w:szCs w:val="21"/>
              </w:rPr>
              <w:t xml:space="preserve">Layer 3 · Tool Execution</w:t>
            </w:r>
          </w:p>
          <w:p>
            <w:pPr>
              <w:spacing w:after="0"/>
            </w:pPr>
            <w:r>
              <w:rPr>
                <w:rFonts w:ascii="Arial" w:cs="Arial" w:eastAsia="Arial" w:hAnsi="Arial"/>
                <w:color w:val="555555"/>
                <w:sz w:val="18"/>
                <w:szCs w:val="18"/>
              </w:rPr>
              <w:t xml:space="preserve">Health assessor · Trend analyzer · KB retriever · Alert engine · Report generator</w:t>
            </w:r>
          </w:p>
        </w:tc>
      </w:tr>
      <w:tr>
        <w:tc>
          <w:tcPr>
            <w:tcW w:type="dxa" w:w="9360"/>
            <w:tcBorders>
              <w:top w:val="single" w:color="E2E8F0" w:sz="1"/>
              <w:left w:val="single" w:color="E2E8F0" w:sz="1"/>
              <w:bottom w:val="single" w:color="E2E8F0" w:sz="1"/>
              <w:right w:val="single" w:color="E2E8F0" w:sz="1"/>
            </w:tcBorders>
            <w:shd w:fill="EEEDFE" w:val="clear"/>
            <w:tcMar>
              <w:top w:type="dxa" w:w="100"/>
              <w:left w:type="dxa" w:w="160"/>
              <w:bottom w:type="dxa" w:w="100"/>
              <w:right w:type="dxa" w:w="160"/>
            </w:tcMar>
          </w:tcPr>
          <w:p>
            <w:r>
              <w:rPr>
                <w:rFonts w:ascii="Arial" w:cs="Arial" w:eastAsia="Arial" w:hAnsi="Arial"/>
                <w:b/>
                <w:bCs/>
                <w:color w:val="3C3489"/>
                <w:sz w:val="21"/>
                <w:szCs w:val="21"/>
              </w:rPr>
              <w:t xml:space="preserve">Layer 2 · Agent Brain (ReAct Loop)</w:t>
            </w:r>
          </w:p>
          <w:p>
            <w:pPr>
              <w:spacing w:after="0"/>
            </w:pPr>
            <w:r>
              <w:rPr>
                <w:rFonts w:ascii="Arial" w:cs="Arial" w:eastAsia="Arial" w:hAnsi="Arial"/>
                <w:color w:val="555555"/>
                <w:sz w:val="18"/>
                <w:szCs w:val="18"/>
              </w:rPr>
              <w:t xml:space="preserve">Orchestrator · Tool registry · Prompt manager · Short/Long/Episodic memory · Reasoning trace</w:t>
            </w:r>
          </w:p>
        </w:tc>
      </w:tr>
      <w:tr>
        <w:tc>
          <w:tcPr>
            <w:tcW w:type="dxa" w:w="9360"/>
            <w:tcBorders>
              <w:top w:val="single" w:color="E2E8F0" w:sz="1"/>
              <w:left w:val="single" w:color="E2E8F0" w:sz="1"/>
              <w:bottom w:val="single" w:color="E2E8F0" w:sz="1"/>
              <w:right w:val="single" w:color="E2E8F0" w:sz="1"/>
            </w:tcBorders>
            <w:shd w:fill="E6F1FB" w:val="clear"/>
            <w:tcMar>
              <w:top w:type="dxa" w:w="100"/>
              <w:left w:type="dxa" w:w="160"/>
              <w:bottom w:type="dxa" w:w="100"/>
              <w:right w:type="dxa" w:w="160"/>
            </w:tcMar>
          </w:tcPr>
          <w:p>
            <w:r>
              <w:rPr>
                <w:rFonts w:ascii="Arial" w:cs="Arial" w:eastAsia="Arial" w:hAnsi="Arial"/>
                <w:b/>
                <w:bCs/>
                <w:color w:val="0C447C"/>
                <w:sz w:val="21"/>
                <w:szCs w:val="21"/>
              </w:rPr>
              <w:t xml:space="preserve">Layer 1 · Perception &amp; Preprocessing</w:t>
            </w:r>
          </w:p>
          <w:p>
            <w:pPr>
              <w:spacing w:after="0"/>
            </w:pPr>
            <w:r>
              <w:rPr>
                <w:rFonts w:ascii="Arial" w:cs="Arial" w:eastAsia="Arial" w:hAnsi="Arial"/>
                <w:color w:val="555555"/>
                <w:sz w:val="18"/>
                <w:szCs w:val="18"/>
              </w:rPr>
              <w:t xml:space="preserve">Data ingestion · Anomaly detector · Feature extractor · Event classifier</w:t>
            </w:r>
          </w:p>
        </w:tc>
      </w:tr>
      <w:tr>
        <w:tc>
          <w:tcPr>
            <w:tcW w:type="dxa" w:w="9360"/>
            <w:tcBorders>
              <w:top w:val="single" w:color="E2E8F0" w:sz="1"/>
              <w:left w:val="single" w:color="E2E8F0" w:sz="1"/>
              <w:bottom w:val="single" w:color="E2E8F0" w:sz="1"/>
              <w:right w:val="single" w:color="E2E8F0" w:sz="1"/>
            </w:tcBorders>
            <w:shd w:fill="E1F5EE" w:val="clear"/>
            <w:tcMar>
              <w:top w:type="dxa" w:w="100"/>
              <w:left w:type="dxa" w:w="160"/>
              <w:bottom w:type="dxa" w:w="100"/>
              <w:right w:type="dxa" w:w="160"/>
            </w:tcMar>
          </w:tcPr>
          <w:p>
            <w:r>
              <w:rPr>
                <w:rFonts w:ascii="Arial" w:cs="Arial" w:eastAsia="Arial" w:hAnsi="Arial"/>
                <w:b/>
                <w:bCs/>
                <w:color w:val="085041"/>
                <w:sz w:val="21"/>
                <w:szCs w:val="21"/>
              </w:rPr>
              <w:t xml:space="preserve">Layer 0 · Environment &amp; Data Sources</w:t>
            </w:r>
          </w:p>
          <w:p>
            <w:pPr>
              <w:spacing w:after="0"/>
            </w:pPr>
            <w:r>
              <w:rPr>
                <w:rFonts w:ascii="Arial" w:cs="Arial" w:eastAsia="Arial" w:hAnsi="Arial"/>
                <w:color w:val="555555"/>
                <w:sz w:val="18"/>
                <w:szCs w:val="18"/>
              </w:rPr>
              <w:t xml:space="preserve">Wearable streams · User inputs · Health knowledge base · External context</w:t>
            </w:r>
          </w:p>
        </w:tc>
      </w:tr>
    </w:tbl>
    <w:p>
      <w:pPr>
        <w:spacing w:after="120"/>
      </w:pPr>
      <w:r>
        <w:t xml:space="preserve"/>
      </w:r>
    </w:p>
    <w:p>
      <w:pPr>
        <w:spacing w:after="120" w:line="320"/>
      </w:pPr>
      <w:r>
        <w:rPr>
          <w:rFonts w:ascii="Arial" w:cs="Arial" w:eastAsia="Arial" w:hAnsi="Arial"/>
          <w:color w:val="2D3748"/>
          <w:sz w:val="22"/>
          <w:szCs w:val="22"/>
        </w:rPr>
        <w:t xml:space="preserve">Figure 1: Six-layer system architecture. Data flows from Layer 0 (environment) upward through perception (L1), agent reasoning (L2), tool execution (L3), and output (L4), with feedback returning to update agent memory (L5 → L2).</w:t>
      </w:r>
    </w:p>
    <w:p>
      <w:pPr>
        <w:spacing w:after="160"/>
      </w:pPr>
      <w:r>
        <w:t xml:space="preserve"/>
      </w:r>
    </w:p>
    <w:p>
      <w:pPr>
        <w:pStyle w:val="Heading1"/>
        <w:spacing w:after="160" w:before="320"/>
      </w:pPr>
      <w:r>
        <w:rPr>
          <w:rFonts w:ascii="Arial" w:cs="Arial" w:eastAsia="Arial" w:hAnsi="Arial"/>
          <w:b/>
          <w:bCs/>
          <w:color w:val="0D2137"/>
          <w:sz w:val="32"/>
          <w:szCs w:val="32"/>
        </w:rPr>
        <w:t xml:space="preserve">3. Layer-by-Layer Description</w:t>
      </w:r>
    </w:p>
    <w:p>
      <w:pPr>
        <w:pStyle w:val="Heading2"/>
        <w:spacing w:after="120" w:before="240"/>
      </w:pPr>
      <w:r>
        <w:rPr>
          <w:rFonts w:ascii="Arial" w:cs="Arial" w:eastAsia="Arial" w:hAnsi="Arial"/>
          <w:b/>
          <w:bCs/>
          <w:color w:val="0A7C6C"/>
          <w:sz w:val="26"/>
          <w:szCs w:val="26"/>
        </w:rPr>
        <w:t xml:space="preserve">3.1 Layer 0 — Environment &amp; Data Sources</w:t>
      </w:r>
    </w:p>
    <w:p>
      <w:pPr>
        <w:spacing w:after="120" w:line="320"/>
      </w:pPr>
      <w:r>
        <w:rPr>
          <w:rFonts w:ascii="Arial" w:cs="Arial" w:eastAsia="Arial" w:hAnsi="Arial"/>
          <w:color w:val="2D3748"/>
          <w:sz w:val="22"/>
          <w:szCs w:val="22"/>
        </w:rPr>
        <w:t xml:space="preserve">The agent operates over four categories of input data:</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656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Wearable streams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Simulated 30-day time series: heart rate (bpm), step count, sleep duration (hours), HRV, calories burned</w:t>
            </w:r>
          </w:p>
        </w:tc>
      </w:tr>
      <w:tr>
        <w:tc>
          <w:tcPr>
            <w:tcW w:type="dxa" w:w="28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0D2137"/>
                <w:sz w:val="19"/>
                <w:szCs w:val="19"/>
              </w:rPr>
              <w:t xml:space="preserve">User inputs</w:t>
            </w:r>
          </w:p>
        </w:tc>
        <w:tc>
          <w:tcPr>
            <w:tcW w:type="dxa" w:w="65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Manually entered symptoms, mood, and goals stored in SQLite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Health knowledge base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30 curated health facts from WHO guidelines and clinical literature, vectorized into FAISS for RAG retrieval</w:t>
            </w:r>
          </w:p>
        </w:tc>
      </w:tr>
      <w:tr>
        <w:tc>
          <w:tcPr>
            <w:tcW w:type="dxa" w:w="28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0D2137"/>
                <w:sz w:val="19"/>
                <w:szCs w:val="19"/>
              </w:rPr>
              <w:t xml:space="preserve">External context</w:t>
            </w:r>
          </w:p>
        </w:tc>
        <w:tc>
          <w:tcPr>
            <w:tcW w:type="dxa" w:w="65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Weather and air quality data (optional extension); calendar for activity planning</w:t>
            </w:r>
          </w:p>
        </w:tc>
      </w:tr>
    </w:tbl>
    <w:p>
      <w:pPr>
        <w:spacing w:after="80"/>
      </w:pPr>
      <w:r>
        <w:t xml:space="preserve"/>
      </w:r>
    </w:p>
    <w:p>
      <w:pPr>
        <w:spacing w:after="120" w:line="320"/>
      </w:pPr>
      <w:r>
        <w:rPr>
          <w:rFonts w:ascii="Arial" w:cs="Arial" w:eastAsia="Arial" w:hAnsi="Arial"/>
          <w:color w:val="2D3748"/>
          <w:sz w:val="22"/>
          <w:szCs w:val="22"/>
        </w:rPr>
        <w:t xml:space="preserve">All wearable data is simulated via data/simulator.py, which generates realistic 30-day histories with injected anomaly days to enable meaningful agent reasoning during demonstration.</w:t>
      </w:r>
    </w:p>
    <w:p>
      <w:pPr>
        <w:spacing w:after="160"/>
      </w:pPr>
      <w:r>
        <w:t xml:space="preserve"/>
      </w:r>
    </w:p>
    <w:p>
      <w:pPr>
        <w:pStyle w:val="Heading2"/>
        <w:spacing w:after="120" w:before="240"/>
      </w:pPr>
      <w:r>
        <w:rPr>
          <w:rFonts w:ascii="Arial" w:cs="Arial" w:eastAsia="Arial" w:hAnsi="Arial"/>
          <w:b/>
          <w:bCs/>
          <w:color w:val="0A7C6C"/>
          <w:sz w:val="26"/>
          <w:szCs w:val="26"/>
        </w:rPr>
        <w:t xml:space="preserve">3.2 Layer 1 — Perception &amp; Preprocessing</w:t>
      </w:r>
    </w:p>
    <w:p>
      <w:pPr>
        <w:spacing w:after="120" w:line="320"/>
      </w:pPr>
      <w:r>
        <w:rPr>
          <w:rFonts w:ascii="Arial" w:cs="Arial" w:eastAsia="Arial" w:hAnsi="Arial"/>
          <w:color w:val="2D3748"/>
          <w:sz w:val="22"/>
          <w:szCs w:val="22"/>
        </w:rPr>
        <w:t xml:space="preserve">Raw data is processed into structured observations before reaching the agent. Four sub-modules handle this transformation: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656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Data ingestion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Normalization, unit conversion, deduplication, timestamp alignment across data sources</w:t>
            </w:r>
          </w:p>
        </w:tc>
      </w:tr>
      <w:tr>
        <w:tc>
          <w:tcPr>
            <w:tcW w:type="dxa" w:w="28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0D2137"/>
                <w:sz w:val="19"/>
                <w:szCs w:val="19"/>
              </w:rPr>
              <w:t xml:space="preserve">Anomaly detector</w:t>
            </w:r>
          </w:p>
        </w:tc>
        <w:tc>
          <w:tcPr>
            <w:tcW w:type="dxa" w:w="65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Z-score and rolling standard deviation analysis; flags readings outside personalized baselines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Feature extractor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Computes daily aggregates, trend deltas, sleep quality scores (0-100), and activity load indices</w:t>
            </w:r>
          </w:p>
        </w:tc>
      </w:tr>
      <w:tr>
        <w:tc>
          <w:tcPr>
            <w:tcW w:type="dxa" w:w="28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0D2137"/>
                <w:sz w:val="19"/>
                <w:szCs w:val="19"/>
              </w:rPr>
              <w:t xml:space="preserve">Event classifier</w:t>
            </w:r>
          </w:p>
        </w:tc>
        <w:tc>
          <w:tcPr>
            <w:tcW w:type="dxa" w:w="65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Labels each day with a semantic type: recovery, peak-performance, stressed, sedentary, or disrupted-sleep</w:t>
            </w:r>
          </w:p>
        </w:tc>
      </w:tr>
    </w:tbl>
    <w:p>
      <w:pPr>
        <w:spacing w:after="80"/>
      </w:pPr>
      <w:r>
        <w:t xml:space="preserve"/>
      </w:r>
    </w:p>
    <w:p>
      <w:pPr>
        <w:spacing w:after="120" w:line="320"/>
      </w:pPr>
      <w:r>
        <w:rPr>
          <w:rFonts w:ascii="Arial" w:cs="Arial" w:eastAsia="Arial" w:hAnsi="Arial"/>
          <w:color w:val="2D3748"/>
          <w:sz w:val="22"/>
          <w:szCs w:val="22"/>
        </w:rPr>
        <w:t xml:space="preserve">Anomaly detection uses statistical thresholds rather than a trained ML model. This is a deliberate design choice: in production health monitoring systems (including Apple Watch and Fitbit), rule-based anomaly detection is preferred because it is interpretable, requires no training data, and generalizes reliably across users. The output of Layer 1 is a structured observation dict consumed by Layer 2 tools.</w:t>
      </w:r>
    </w:p>
    <w:p>
      <w:pPr>
        <w:spacing w:after="160"/>
      </w:pPr>
      <w:r>
        <w:t xml:space="preserve"/>
      </w:r>
    </w:p>
    <w:p>
      <w:pPr>
        <w:pStyle w:val="Heading2"/>
        <w:spacing w:after="120" w:before="240"/>
      </w:pPr>
      <w:r>
        <w:rPr>
          <w:rFonts w:ascii="Arial" w:cs="Arial" w:eastAsia="Arial" w:hAnsi="Arial"/>
          <w:b/>
          <w:bCs/>
          <w:color w:val="0A7C6C"/>
          <w:sz w:val="26"/>
          <w:szCs w:val="26"/>
        </w:rPr>
        <w:t xml:space="preserve">3.3 Layer 2 — Agent Brain (ReAct Loop)</w:t>
      </w:r>
    </w:p>
    <w:p>
      <w:pPr>
        <w:spacing w:after="120" w:line="320"/>
      </w:pPr>
      <w:r>
        <w:rPr>
          <w:rFonts w:ascii="Arial" w:cs="Arial" w:eastAsia="Arial" w:hAnsi="Arial"/>
          <w:color w:val="2D3748"/>
          <w:sz w:val="22"/>
          <w:szCs w:val="22"/>
        </w:rPr>
        <w:t xml:space="preserve">This is the core of the system. The agent uses the ReAct framework (Reason + Act) to iteratively decide which tools to call, observe their outputs, and refine its reasoning until it has enough information to generate a response.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85041"/>
                <w:sz w:val="20"/>
                <w:szCs w:val="20"/>
              </w:rPr>
              <w:t xml:space="preserve">1. Perceive</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pPr>
            <w:r>
              <w:rPr>
                <w:rFonts w:ascii="Arial" w:cs="Arial" w:eastAsia="Arial" w:hAnsi="Arial"/>
                <w:color w:val="444444"/>
                <w:sz w:val="20"/>
                <w:szCs w:val="20"/>
              </w:rPr>
              <w:t xml:space="preserve">Receive user query + load today's health data from SQLite</w:t>
            </w:r>
          </w:p>
        </w:tc>
      </w:tr>
      <w:tr>
        <w:tc>
          <w:tcPr>
            <w:tcW w:type="dxa" w:w="1800"/>
            <w:tcBorders>
              <w:top w:val="single" w:color="E2E8F0" w:sz="1"/>
              <w:left w:val="single" w:color="E2E8F0" w:sz="1"/>
              <w:bottom w:val="single" w:color="E2E8F0" w:sz="1"/>
              <w:right w:val="single" w:color="E2E8F0" w:sz="1"/>
            </w:tcBorders>
            <w:shd w:fill="E6F1FB" w:val="clear"/>
            <w:tcMar>
              <w:top w:type="dxa" w:w="100"/>
              <w:left w:type="dxa" w:w="140"/>
              <w:bottom w:type="dxa" w:w="100"/>
              <w:right w:type="dxa" w:w="140"/>
            </w:tcMar>
            <w:vAlign w:val="center"/>
          </w:tcPr>
          <w:p>
            <w:pPr>
              <w:jc w:val="center"/>
            </w:pPr>
            <w:r>
              <w:rPr>
                <w:rFonts w:ascii="Arial" w:cs="Arial" w:eastAsia="Arial" w:hAnsi="Arial"/>
                <w:b/>
                <w:bCs/>
                <w:color w:val="0C447C"/>
                <w:sz w:val="20"/>
                <w:szCs w:val="20"/>
              </w:rPr>
              <w:t xml:space="preserve">2. Reason</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pPr>
            <w:r>
              <w:rPr>
                <w:rFonts w:ascii="Arial" w:cs="Arial" w:eastAsia="Arial" w:hAnsi="Arial"/>
                <w:color w:val="444444"/>
                <w:sz w:val="20"/>
                <w:szCs w:val="20"/>
              </w:rPr>
              <w:t xml:space="preserve">GPT-4o decides which tool to call next based on context</w:t>
            </w:r>
          </w:p>
        </w:tc>
      </w:tr>
      <w:tr>
        <w:tc>
          <w:tcPr>
            <w:tcW w:type="dxa" w:w="1800"/>
            <w:tcBorders>
              <w:top w:val="single" w:color="E2E8F0" w:sz="1"/>
              <w:left w:val="single" w:color="E2E8F0" w:sz="1"/>
              <w:bottom w:val="single" w:color="E2E8F0" w:sz="1"/>
              <w:right w:val="single" w:color="E2E8F0" w:sz="1"/>
            </w:tcBorders>
            <w:shd w:fill="EEEDFE" w:val="clear"/>
            <w:tcMar>
              <w:top w:type="dxa" w:w="100"/>
              <w:left w:type="dxa" w:w="140"/>
              <w:bottom w:type="dxa" w:w="100"/>
              <w:right w:type="dxa" w:w="140"/>
            </w:tcMar>
            <w:vAlign w:val="center"/>
          </w:tcPr>
          <w:p>
            <w:pPr>
              <w:jc w:val="center"/>
            </w:pPr>
            <w:r>
              <w:rPr>
                <w:rFonts w:ascii="Arial" w:cs="Arial" w:eastAsia="Arial" w:hAnsi="Arial"/>
                <w:b/>
                <w:bCs/>
                <w:color w:val="3C3489"/>
                <w:sz w:val="20"/>
                <w:szCs w:val="20"/>
              </w:rPr>
              <w:t xml:space="preserve">3. Act</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pPr>
            <w:r>
              <w:rPr>
                <w:rFonts w:ascii="Arial" w:cs="Arial" w:eastAsia="Arial" w:hAnsi="Arial"/>
                <w:color w:val="444444"/>
                <w:sz w:val="20"/>
                <w:szCs w:val="20"/>
              </w:rPr>
              <w:t xml:space="preserve">Execute tool (assess_health / get_trend / query_kb / get_profile)</w:t>
            </w:r>
          </w:p>
        </w:tc>
      </w:tr>
      <w:tr>
        <w:tc>
          <w:tcPr>
            <w:tcW w:type="dxa" w:w="1800"/>
            <w:tcBorders>
              <w:top w:val="single" w:color="E2E8F0" w:sz="1"/>
              <w:left w:val="single" w:color="E2E8F0" w:sz="1"/>
              <w:bottom w:val="single" w:color="E2E8F0" w:sz="1"/>
              <w:right w:val="single" w:color="E2E8F0" w:sz="1"/>
            </w:tcBorders>
            <w:shd w:fill="FAEEDA" w:val="clear"/>
            <w:tcMar>
              <w:top w:type="dxa" w:w="100"/>
              <w:left w:type="dxa" w:w="140"/>
              <w:bottom w:type="dxa" w:w="100"/>
              <w:right w:type="dxa" w:w="140"/>
            </w:tcMar>
            <w:vAlign w:val="center"/>
          </w:tcPr>
          <w:p>
            <w:pPr>
              <w:jc w:val="center"/>
            </w:pPr>
            <w:r>
              <w:rPr>
                <w:rFonts w:ascii="Arial" w:cs="Arial" w:eastAsia="Arial" w:hAnsi="Arial"/>
                <w:b/>
                <w:bCs/>
                <w:color w:val="633806"/>
                <w:sz w:val="20"/>
                <w:szCs w:val="20"/>
              </w:rPr>
              <w:t xml:space="preserve">4. Observe</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pPr>
            <w:r>
              <w:rPr>
                <w:rFonts w:ascii="Arial" w:cs="Arial" w:eastAsia="Arial" w:hAnsi="Arial"/>
                <w:color w:val="444444"/>
                <w:sz w:val="20"/>
                <w:szCs w:val="20"/>
              </w:rPr>
              <w:t xml:space="preserve">Read tool output, append to agent scratchpad</w:t>
            </w:r>
          </w:p>
        </w:tc>
      </w:tr>
      <w:tr>
        <w:tc>
          <w:tcPr>
            <w:tcW w:type="dxa" w:w="1800"/>
            <w:tcBorders>
              <w:top w:val="single" w:color="E2E8F0" w:sz="1"/>
              <w:left w:val="single" w:color="E2E8F0" w:sz="1"/>
              <w:bottom w:val="single" w:color="E2E8F0" w:sz="1"/>
              <w:right w:val="single" w:color="E2E8F0" w:sz="1"/>
            </w:tcBorders>
            <w:shd w:fill="FAECE7" w:val="clear"/>
            <w:tcMar>
              <w:top w:type="dxa" w:w="100"/>
              <w:left w:type="dxa" w:w="140"/>
              <w:bottom w:type="dxa" w:w="100"/>
              <w:right w:type="dxa" w:w="140"/>
            </w:tcMar>
            <w:vAlign w:val="center"/>
          </w:tcPr>
          <w:p>
            <w:pPr>
              <w:jc w:val="center"/>
            </w:pPr>
            <w:r>
              <w:rPr>
                <w:rFonts w:ascii="Arial" w:cs="Arial" w:eastAsia="Arial" w:hAnsi="Arial"/>
                <w:b/>
                <w:bCs/>
                <w:color w:val="712B13"/>
                <w:sz w:val="20"/>
                <w:szCs w:val="20"/>
              </w:rPr>
              <w:t xml:space="preserve">5. Repeat</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pPr>
            <w:r>
              <w:rPr>
                <w:rFonts w:ascii="Arial" w:cs="Arial" w:eastAsia="Arial" w:hAnsi="Arial"/>
                <w:color w:val="444444"/>
                <w:sz w:val="20"/>
                <w:szCs w:val="20"/>
              </w:rPr>
              <w:t xml:space="preserve">Loop back to Reason until enough info gathered (max 6 iterations)</w:t>
            </w:r>
          </w:p>
        </w:tc>
      </w:tr>
      <w:tr>
        <w:tc>
          <w:tcPr>
            <w:tcW w:type="dxa" w:w="1800"/>
            <w:tcBorders>
              <w:top w:val="single" w:color="E2E8F0" w:sz="1"/>
              <w:left w:val="single" w:color="E2E8F0" w:sz="1"/>
              <w:bottom w:val="single" w:color="E2E8F0" w:sz="1"/>
              <w:right w:val="single" w:color="E2E8F0" w:sz="1"/>
            </w:tcBorders>
            <w:shd w:fill="EAF3DE" w:val="clear"/>
            <w:tcMar>
              <w:top w:type="dxa" w:w="100"/>
              <w:left w:type="dxa" w:w="140"/>
              <w:bottom w:type="dxa" w:w="100"/>
              <w:right w:type="dxa" w:w="140"/>
            </w:tcMar>
            <w:vAlign w:val="center"/>
          </w:tcPr>
          <w:p>
            <w:pPr>
              <w:jc w:val="center"/>
            </w:pPr>
            <w:r>
              <w:rPr>
                <w:rFonts w:ascii="Arial" w:cs="Arial" w:eastAsia="Arial" w:hAnsi="Arial"/>
                <w:b/>
                <w:bCs/>
                <w:color w:val="27500A"/>
                <w:sz w:val="20"/>
                <w:szCs w:val="20"/>
              </w:rPr>
              <w:t xml:space="preserve">6. Respond</w:t>
            </w:r>
          </w:p>
        </w:tc>
        <w:tc>
          <w:tcPr>
            <w:tcW w:type="dxa" w:w="7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pPr>
            <w:r>
              <w:rPr>
                <w:rFonts w:ascii="Arial" w:cs="Arial" w:eastAsia="Arial" w:hAnsi="Arial"/>
                <w:color w:val="444444"/>
                <w:sz w:val="20"/>
                <w:szCs w:val="20"/>
              </w:rPr>
              <w:t xml:space="preserve">Synthesize all tool outputs into final personalized response</w:t>
            </w:r>
          </w:p>
        </w:tc>
      </w:tr>
    </w:tbl>
    <w:p>
      <w:pPr>
        <w:spacing w:after="120"/>
      </w:pPr>
      <w:r>
        <w:t xml:space="preserve"/>
      </w:r>
    </w:p>
    <w:p>
      <w:pPr>
        <w:spacing w:after="120" w:line="320"/>
      </w:pPr>
      <w:r>
        <w:rPr>
          <w:rFonts w:ascii="Arial" w:cs="Arial" w:eastAsia="Arial" w:hAnsi="Arial"/>
          <w:color w:val="2D3748"/>
          <w:sz w:val="22"/>
          <w:szCs w:val="22"/>
        </w:rPr>
        <w:t xml:space="preserve">Figure 2: ReAct reasoning loop. The agent cycles through Reason → Act → Observe up to 6 times per query before synthesizing a final response.</w:t>
      </w:r>
    </w:p>
    <w:p>
      <w:pPr>
        <w:spacing w:after="120"/>
      </w:pPr>
      <w:r>
        <w:t xml:space="preserve"/>
      </w:r>
    </w:p>
    <w:p>
      <w:pPr>
        <w:spacing w:after="80" w:before="180"/>
      </w:pPr>
      <w:r>
        <w:rPr>
          <w:rFonts w:ascii="Arial" w:cs="Arial" w:eastAsia="Arial" w:hAnsi="Arial"/>
          <w:b/>
          <w:bCs/>
          <w:color w:val="0D2137"/>
          <w:sz w:val="22"/>
          <w:szCs w:val="22"/>
        </w:rPr>
        <w:t xml:space="preserve">Memory Architecture</w:t>
      </w:r>
    </w:p>
    <w:p>
      <w:pPr>
        <w:spacing w:after="120" w:line="320"/>
      </w:pPr>
      <w:r>
        <w:rPr>
          <w:rFonts w:ascii="Arial" w:cs="Arial" w:eastAsia="Arial" w:hAnsi="Arial"/>
          <w:color w:val="2D3748"/>
          <w:sz w:val="22"/>
          <w:szCs w:val="22"/>
        </w:rPr>
        <w:t xml:space="preserve">The agent maintains three distinct memory types simultaneously, mirroring cognitive memory models from neuroscience: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Memory Type</w:t>
            </w:r>
          </w:p>
        </w:tc>
        <w:tc>
          <w:tcPr>
            <w:tcW w:type="dxa" w:w="308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Storage</w:t>
            </w:r>
          </w:p>
        </w:tc>
        <w:tc>
          <w:tcPr>
            <w:tcW w:type="dxa" w:w="408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Short-term</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In-session state (Python list)</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Current conversation history, last 3 tool outputs, active health context</w:t>
            </w:r>
          </w:p>
        </w:tc>
      </w:tr>
      <w:tr>
        <w:tc>
          <w:tcPr>
            <w:tcW w:type="dxa" w:w="22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Long-term</w:t>
            </w:r>
          </w:p>
        </w:tc>
        <w:tc>
          <w:tcPr>
            <w:tcW w:type="dxa" w:w="308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SQLite (persistent)</w:t>
            </w:r>
          </w:p>
        </w:tc>
        <w:tc>
          <w:tcPr>
            <w:tcW w:type="dxa" w:w="408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User preference profile, disliked advice tags, feedback history, health baselines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Episodic</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SQLite + vector store</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Notable health events: e.g. 'Week of poor sleep Jan 10-15', retrieved by semantic similarity</w:t>
            </w:r>
          </w:p>
        </w:tc>
      </w:tr>
    </w:tbl>
    <w:p>
      <w:pPr>
        <w:spacing w:after="80"/>
      </w:pPr>
      <w:r>
        <w:t xml:space="preserve"/>
      </w:r>
    </w:p>
    <w:p>
      <w:pPr>
        <w:spacing w:after="120" w:line="320"/>
      </w:pPr>
      <w:r>
        <w:rPr>
          <w:rFonts w:ascii="Arial" w:cs="Arial" w:eastAsia="Arial" w:hAnsi="Arial"/>
          <w:color w:val="2D3748"/>
          <w:sz w:val="22"/>
          <w:szCs w:val="22"/>
        </w:rPr>
        <w:t xml:space="preserve">The three-memory design ensures the agent can hold context within a session (short-term), remember user preferences across sessions (long-term), and recall significant past health events by semantic meaning (episodic). This architecture is directly inspired by cognitive science models of human memory and is a key differentiator from standard LLM applications.</w:t>
      </w:r>
    </w:p>
    <w:p>
      <w:pPr>
        <w:spacing w:after="160"/>
      </w:pPr>
      <w:r>
        <w:t xml:space="preserve"/>
      </w:r>
    </w:p>
    <w:p>
      <w:pPr>
        <w:pStyle w:val="Heading2"/>
        <w:spacing w:after="120" w:before="240"/>
      </w:pPr>
      <w:r>
        <w:rPr>
          <w:rFonts w:ascii="Arial" w:cs="Arial" w:eastAsia="Arial" w:hAnsi="Arial"/>
          <w:b/>
          <w:bCs/>
          <w:color w:val="0A7C6C"/>
          <w:sz w:val="26"/>
          <w:szCs w:val="26"/>
        </w:rPr>
        <w:t xml:space="preserve">3.4 Layer 3 — Tool Execution</w:t>
      </w:r>
    </w:p>
    <w:p>
      <w:pPr>
        <w:spacing w:after="120" w:line="320"/>
      </w:pPr>
      <w:r>
        <w:rPr>
          <w:rFonts w:ascii="Arial" w:cs="Arial" w:eastAsia="Arial" w:hAnsi="Arial"/>
          <w:color w:val="2D3748"/>
          <w:sz w:val="22"/>
          <w:szCs w:val="22"/>
        </w:rPr>
        <w:t xml:space="preserve">The agent has access to five callable tools registered via LangChain's function-calling interface. Each tool encapsulates a specific capability: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60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Input</w:t>
            </w:r>
          </w:p>
        </w:tc>
        <w:tc>
          <w:tcPr>
            <w:tcW w:type="dxa" w:w="416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assess_health_status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date (str)</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Health score 0-100, list of flagged issues with severity levels</w:t>
            </w:r>
          </w:p>
        </w:tc>
      </w:tr>
      <w:tr>
        <w:tc>
          <w:tcPr>
            <w:tcW w:type="dxa" w:w="26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get_health_trend</w:t>
            </w:r>
          </w:p>
        </w:tc>
        <w:tc>
          <w:tcPr>
            <w:tcW w:type="dxa" w:w="26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days (int)</w:t>
            </w:r>
          </w:p>
        </w:tc>
        <w:tc>
          <w:tcPr>
            <w:tcW w:type="dxa" w:w="41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Trend direction per metric, streak detection (e.g. 3 consecutive poor sleep days)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query_knowledge_base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query (str)</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Top-3 semantically relevant health facts retrieved via FAISS vector search (RAG)</w:t>
            </w:r>
          </w:p>
        </w:tc>
      </w:tr>
      <w:tr>
        <w:tc>
          <w:tcPr>
            <w:tcW w:type="dxa" w:w="26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get_user_profile</w:t>
            </w:r>
          </w:p>
        </w:tc>
        <w:tc>
          <w:tcPr>
            <w:tcW w:type="dxa" w:w="26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(none)</w:t>
            </w:r>
          </w:p>
        </w:tc>
        <w:tc>
          <w:tcPr>
            <w:tcW w:type="dxa" w:w="41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User preferences, goals, disliked advice tags, feedback count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save_feedback</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summary, rating, tag</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Persists feedback to SQLite; updates disliked_tags if rating is negative</w:t>
            </w:r>
          </w:p>
        </w:tc>
      </w:tr>
    </w:tbl>
    <w:p>
      <w:pPr>
        <w:spacing w:after="80"/>
      </w:pPr>
      <w:r>
        <w:t xml:space="preserve"/>
      </w:r>
    </w:p>
    <w:p>
      <w:pPr>
        <w:spacing w:after="120" w:line="320"/>
      </w:pPr>
      <w:r>
        <w:rPr>
          <w:rFonts w:ascii="Arial" w:cs="Arial" w:eastAsia="Arial" w:hAnsi="Arial"/>
          <w:color w:val="2D3748"/>
          <w:sz w:val="22"/>
          <w:szCs w:val="22"/>
        </w:rPr>
        <w:t xml:space="preserve">Tools are implemented using LangChain's @tool decorator, which automatically exposes the function's docstring as a description to the LLM. GPT-4o reads these descriptions to decide which tool to invoke at each reasoning step.</w:t>
      </w:r>
    </w:p>
    <w:p>
      <w:pPr>
        <w:spacing w:after="160"/>
      </w:pPr>
      <w:r>
        <w:t xml:space="preserve"/>
      </w:r>
    </w:p>
    <w:p>
      <w:pPr>
        <w:pStyle w:val="Heading2"/>
        <w:spacing w:after="120" w:before="240"/>
      </w:pPr>
      <w:r>
        <w:rPr>
          <w:rFonts w:ascii="Arial" w:cs="Arial" w:eastAsia="Arial" w:hAnsi="Arial"/>
          <w:b/>
          <w:bCs/>
          <w:color w:val="0A7C6C"/>
          <w:sz w:val="26"/>
          <w:szCs w:val="26"/>
        </w:rPr>
        <w:t xml:space="preserve">3.5 Layer 4 — Action &amp; Output</w:t>
      </w:r>
    </w:p>
    <w:p>
      <w:pPr>
        <w:spacing w:after="120" w:line="320"/>
      </w:pPr>
      <w:r>
        <w:rPr>
          <w:rFonts w:ascii="Arial" w:cs="Arial" w:eastAsia="Arial" w:hAnsi="Arial"/>
          <w:color w:val="2D3748"/>
          <w:sz w:val="22"/>
          <w:szCs w:val="22"/>
        </w:rPr>
        <w:t xml:space="preserve">The agent produces four types of output, distinguished by their trigger mechanism and format: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Output Type</w:t>
            </w:r>
          </w:p>
        </w:tc>
        <w:tc>
          <w:tcPr>
            <w:tcW w:type="dxa" w:w="656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Daily advice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Personalized recommendations on exercise, sleep, and recovery. Automatically excludes topics the user has previously rated negatively.</w:t>
            </w:r>
          </w:p>
        </w:tc>
      </w:tr>
      <w:tr>
        <w:tc>
          <w:tcPr>
            <w:tcW w:type="dxa" w:w="28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0D2137"/>
                <w:sz w:val="19"/>
                <w:szCs w:val="19"/>
              </w:rPr>
              <w:t xml:space="preserve">Proactive alert</w:t>
            </w:r>
          </w:p>
        </w:tc>
        <w:tc>
          <w:tcPr>
            <w:tcW w:type="dxa" w:w="65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Agent-initiated message triggered without user input when anomaly_flag=1 or a 3-day declining streak is detected. This is the primary demonstration of agent autonomy.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Conversational QA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Multi-turn natural language answers using full session context and tool-retrieved evidence citations.</w:t>
            </w:r>
          </w:p>
        </w:tc>
      </w:tr>
      <w:tr>
        <w:tc>
          <w:tcPr>
            <w:tcW w:type="dxa" w:w="28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0D2137"/>
                <w:sz w:val="19"/>
                <w:szCs w:val="19"/>
              </w:rPr>
              <w:t xml:space="preserve">Weekly report</w:t>
            </w:r>
          </w:p>
        </w:tc>
        <w:tc>
          <w:tcPr>
            <w:tcW w:type="dxa" w:w="65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Structured health summary with trend narrative, highlights, and next-week focus areas, generated on demand.</w:t>
            </w:r>
          </w:p>
        </w:tc>
      </w:tr>
    </w:tbl>
    <w:p>
      <w:pPr>
        <w:spacing w:after="80"/>
      </w:pPr>
      <w:r>
        <w:t xml:space="preserve"/>
      </w:r>
    </w:p>
    <w:p>
      <w:pPr>
        <w:spacing w:after="120" w:line="320"/>
      </w:pPr>
      <w:r>
        <w:rPr>
          <w:rFonts w:ascii="Arial" w:cs="Arial" w:eastAsia="Arial" w:hAnsi="Arial"/>
          <w:color w:val="2D3748"/>
          <w:sz w:val="22"/>
          <w:szCs w:val="22"/>
        </w:rPr>
        <w:t xml:space="preserve">The proactive alert capability is the most significant demonstration of agent behavior. A conventional LLM application only responds when prompted. HealthAgent actively monitors incoming data and initiates communication when a health concern is detected — behavior that is impossible in a standard chatbot architecture.</w:t>
      </w:r>
    </w:p>
    <w:p>
      <w:pPr>
        <w:spacing w:after="160"/>
      </w:pPr>
      <w:r>
        <w:t xml:space="preserve"/>
      </w:r>
    </w:p>
    <w:p>
      <w:pPr>
        <w:pStyle w:val="Heading2"/>
        <w:spacing w:after="120" w:before="240"/>
      </w:pPr>
      <w:r>
        <w:rPr>
          <w:rFonts w:ascii="Arial" w:cs="Arial" w:eastAsia="Arial" w:hAnsi="Arial"/>
          <w:b/>
          <w:bCs/>
          <w:color w:val="0A7C6C"/>
          <w:sz w:val="26"/>
          <w:szCs w:val="26"/>
        </w:rPr>
        <w:t xml:space="preserve">3.6 Layer 5 — Feedback &amp; Adaptation Loop</w:t>
      </w:r>
    </w:p>
    <w:p>
      <w:pPr>
        <w:spacing w:after="120" w:line="320"/>
      </w:pPr>
      <w:r>
        <w:rPr>
          <w:rFonts w:ascii="Arial" w:cs="Arial" w:eastAsia="Arial" w:hAnsi="Arial"/>
          <w:color w:val="2D3748"/>
          <w:sz w:val="22"/>
          <w:szCs w:val="22"/>
        </w:rPr>
        <w:t xml:space="preserve">The feedback layer closes the perception-action loop by routing user signals back into the agent's long-term memory. This enables genuine behavioral adaptation across sessions.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56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Explicit feedback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Users rate each response with thumbs up/down. Feedback is tagged by topic (sleep, exercise, diet) and stored in SQLite.</w:t>
            </w:r>
          </w:p>
        </w:tc>
      </w:tr>
      <w:tr>
        <w:tc>
          <w:tcPr>
            <w:tcW w:type="dxa" w:w="28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0D2137"/>
                <w:sz w:val="19"/>
                <w:szCs w:val="19"/>
              </w:rPr>
              <w:t xml:space="preserve">Preference updater</w:t>
            </w:r>
          </w:p>
        </w:tc>
        <w:tc>
          <w:tcPr>
            <w:tcW w:type="dxa" w:w="65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Aggregates negative feedback tags. When a topic accumulates 2+ negative ratings, it is added to disliked_tags in the user profile.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Implicit signal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Tracks which advice topics users follow up on vs. ignore, adjusting recommendation priority weights accordingly.</w:t>
            </w:r>
          </w:p>
        </w:tc>
      </w:tr>
      <w:tr>
        <w:tc>
          <w:tcPr>
            <w:tcW w:type="dxa" w:w="28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0D2137"/>
                <w:sz w:val="19"/>
                <w:szCs w:val="19"/>
              </w:rPr>
              <w:t xml:space="preserve">Memory consolidation</w:t>
            </w:r>
          </w:p>
        </w:tc>
        <w:tc>
          <w:tcPr>
            <w:tcW w:type="dxa" w:w="65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At end of session, compresses conversation history into an episodic memory entry, keeping the context window lean for future sessions.</w:t>
            </w:r>
          </w:p>
        </w:tc>
      </w:tr>
    </w:tbl>
    <w:p>
      <w:pPr>
        <w:spacing w:after="80"/>
      </w:pPr>
      <w:r>
        <w:t xml:space="preserve"/>
      </w:r>
    </w:p>
    <w:p>
      <w:pPr>
        <w:spacing w:after="120" w:line="320"/>
      </w:pPr>
      <w:r>
        <w:rPr>
          <w:rFonts w:ascii="Arial" w:cs="Arial" w:eastAsia="Arial" w:hAnsi="Arial"/>
          <w:color w:val="2D3748"/>
          <w:sz w:val="22"/>
          <w:szCs w:val="22"/>
        </w:rPr>
        <w:t xml:space="preserve">The feedback loop is injected directly into the system prompt at the start of each session. When a user opens the app, the agent loads their disliked_tags and automatically avoids those topics in all recommendations — without the user needing to re-state their preferences. This creates observable, verifiable behavioral change between sessions.</w:t>
      </w:r>
    </w:p>
    <w:p>
      <w:pPr>
        <w:spacing w:after="160"/>
      </w:pPr>
      <w:r>
        <w:t xml:space="preserve"/>
      </w:r>
    </w:p>
    <w:p>
      <w:pPr>
        <w:pStyle w:val="Heading1"/>
        <w:spacing w:after="160" w:before="320"/>
      </w:pPr>
      <w:r>
        <w:rPr>
          <w:rFonts w:ascii="Arial" w:cs="Arial" w:eastAsia="Arial" w:hAnsi="Arial"/>
          <w:b/>
          <w:bCs/>
          <w:color w:val="0D2137"/>
          <w:sz w:val="32"/>
          <w:szCs w:val="32"/>
        </w:rPr>
        <w:t xml:space="preserve">4. Technology Stack</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656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LLM / Reasoning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GPT-4o-mini via OpenAI API — cost-efficient with strong tool-calling capability</w:t>
            </w:r>
          </w:p>
        </w:tc>
      </w:tr>
      <w:tr>
        <w:tc>
          <w:tcPr>
            <w:tcW w:type="dxa" w:w="28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0D2137"/>
                <w:sz w:val="19"/>
                <w:szCs w:val="19"/>
              </w:rPr>
              <w:t xml:space="preserve">Agent Framework</w:t>
            </w:r>
          </w:p>
        </w:tc>
        <w:tc>
          <w:tcPr>
            <w:tcW w:type="dxa" w:w="65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LangChain — AgentExecutor, create_tool_calling_agent, @tool decorator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Knowledge Retrieval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FAISS vector store + OpenAI Embeddings — RAG pipeline over 30 health facts</w:t>
            </w:r>
          </w:p>
        </w:tc>
      </w:tr>
      <w:tr>
        <w:tc>
          <w:tcPr>
            <w:tcW w:type="dxa" w:w="28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0D2137"/>
                <w:sz w:val="19"/>
                <w:szCs w:val="19"/>
              </w:rPr>
              <w:t xml:space="preserve">Anomaly Detection</w:t>
            </w:r>
          </w:p>
        </w:tc>
        <w:tc>
          <w:tcPr>
            <w:tcW w:type="dxa" w:w="65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Z-score and rolling standard deviation (pandas/numpy)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Data Storage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SQLite — health logs, user profile, feedback, episodic memory</w:t>
            </w:r>
          </w:p>
        </w:tc>
      </w:tr>
      <w:tr>
        <w:tc>
          <w:tcPr>
            <w:tcW w:type="dxa" w:w="28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0D2137"/>
                <w:sz w:val="19"/>
                <w:szCs w:val="19"/>
              </w:rPr>
              <w:t xml:space="preserve">Interface</w:t>
            </w:r>
          </w:p>
        </w:tc>
        <w:tc>
          <w:tcPr>
            <w:tcW w:type="dxa" w:w="65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Streamlit — two-column layout with real-time tool call visualization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Language / Runtime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Python 3.11+</w:t>
            </w:r>
          </w:p>
        </w:tc>
      </w:tr>
    </w:tbl>
    <w:p>
      <w:pPr>
        <w:spacing w:after="160"/>
      </w:pPr>
      <w:r>
        <w:t xml:space="preserve"/>
      </w:r>
    </w:p>
    <w:p>
      <w:pPr>
        <w:pStyle w:val="Heading1"/>
        <w:spacing w:after="160" w:before="320"/>
      </w:pPr>
      <w:r>
        <w:rPr>
          <w:rFonts w:ascii="Arial" w:cs="Arial" w:eastAsia="Arial" w:hAnsi="Arial"/>
          <w:b/>
          <w:bCs/>
          <w:color w:val="0D2137"/>
          <w:sz w:val="32"/>
          <w:szCs w:val="32"/>
        </w:rPr>
        <w:t xml:space="preserve">5. Retrieval-Augmented Generation (RAG)</w:t>
      </w:r>
    </w:p>
    <w:p>
      <w:pPr>
        <w:spacing w:after="120" w:line="320"/>
      </w:pPr>
      <w:r>
        <w:rPr>
          <w:rFonts w:ascii="Arial" w:cs="Arial" w:eastAsia="Arial" w:hAnsi="Arial"/>
          <w:color w:val="2D3748"/>
          <w:sz w:val="22"/>
          <w:szCs w:val="22"/>
        </w:rPr>
        <w:t xml:space="preserve">A core architectural decision is the use of RAG for grounding the agent's health recommendations in verified medical knowledge. Without RAG, GPT-4o would rely on its parametric memory to answer health questions — a process prone to hallucination, especially for specific numeric guidelines (e.g. WHO exercise recommendations, normal heart rate ranges).</w:t>
      </w:r>
    </w:p>
    <w:p>
      <w:pPr>
        <w:spacing w:after="80"/>
      </w:pPr>
      <w:r>
        <w:t xml:space="preserve"/>
      </w:r>
    </w:p>
    <w:p>
      <w:pPr>
        <w:spacing w:after="120" w:line="320"/>
      </w:pPr>
      <w:r>
        <w:rPr>
          <w:rFonts w:ascii="Arial" w:cs="Arial" w:eastAsia="Arial" w:hAnsi="Arial"/>
          <w:color w:val="2D3748"/>
          <w:sz w:val="22"/>
          <w:szCs w:val="22"/>
        </w:rPr>
        <w:t xml:space="preserve">The RAG pipeline operates as follows: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656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Indexing (offline)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30 health facts loaded from health_facts.txt, split by line, embedded using OpenAIEmbeddings, stored in FAISS index on disk</w:t>
            </w:r>
          </w:p>
        </w:tc>
      </w:tr>
      <w:tr>
        <w:tc>
          <w:tcPr>
            <w:tcW w:type="dxa" w:w="28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0D2137"/>
                <w:sz w:val="19"/>
                <w:szCs w:val="19"/>
              </w:rPr>
              <w:t xml:space="preserve">Retrieval (online)</w:t>
            </w:r>
          </w:p>
        </w:tc>
        <w:tc>
          <w:tcPr>
            <w:tcW w:type="dxa" w:w="65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User query embedded at runtime; FAISS returns top-3 most semantically similar facts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D2137"/>
                <w:sz w:val="19"/>
                <w:szCs w:val="19"/>
              </w:rPr>
              <w:t xml:space="preserve">Augmentation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Retrieved facts appended to agent context before GPT-4o generates its response</w:t>
            </w:r>
          </w:p>
        </w:tc>
      </w:tr>
      <w:tr>
        <w:tc>
          <w:tcPr>
            <w:tcW w:type="dxa" w:w="28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0D2137"/>
                <w:sz w:val="19"/>
                <w:szCs w:val="19"/>
              </w:rPr>
              <w:t xml:space="preserve">Grounding effect</w:t>
            </w:r>
          </w:p>
        </w:tc>
        <w:tc>
          <w:tcPr>
            <w:tcW w:type="dxa" w:w="656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Agent can cite specific WHO guidelines and clinical norms rather than generating generic advice</w:t>
            </w:r>
          </w:p>
        </w:tc>
      </w:tr>
    </w:tbl>
    <w:p>
      <w:pPr>
        <w:spacing w:after="80"/>
      </w:pPr>
      <w:r>
        <w:t xml:space="preserve"/>
      </w:r>
    </w:p>
    <w:p>
      <w:pPr>
        <w:spacing w:after="120" w:line="320"/>
      </w:pPr>
      <w:r>
        <w:rPr>
          <w:rFonts w:ascii="Arial" w:cs="Arial" w:eastAsia="Arial" w:hAnsi="Arial"/>
          <w:color w:val="2D3748"/>
          <w:sz w:val="22"/>
          <w:szCs w:val="22"/>
        </w:rPr>
        <w:t xml:space="preserve">The FAISS index is built once and cached on disk (faiss_index/ directory). Subsequent app launches load from cache, making retrieval latency negligible. This design choice ensures the RAG system adds no perceptible delay to the user experience during demonstration.</w:t>
      </w:r>
    </w:p>
    <w:p>
      <w:pPr>
        <w:spacing w:after="160"/>
      </w:pPr>
      <w:r>
        <w:t xml:space="preserve"/>
      </w:r>
    </w:p>
    <w:p>
      <w:pPr>
        <w:pStyle w:val="Heading1"/>
        <w:spacing w:after="160" w:before="320"/>
      </w:pPr>
      <w:r>
        <w:rPr>
          <w:rFonts w:ascii="Arial" w:cs="Arial" w:eastAsia="Arial" w:hAnsi="Arial"/>
          <w:b/>
          <w:bCs/>
          <w:color w:val="0D2137"/>
          <w:sz w:val="32"/>
          <w:szCs w:val="32"/>
        </w:rPr>
        <w:t xml:space="preserve">6. Demo Scenarios</w:t>
      </w:r>
    </w:p>
    <w:p>
      <w:pPr>
        <w:spacing w:after="120" w:line="320"/>
      </w:pPr>
      <w:r>
        <w:rPr>
          <w:rFonts w:ascii="Arial" w:cs="Arial" w:eastAsia="Arial" w:hAnsi="Arial"/>
          <w:color w:val="2D3748"/>
          <w:sz w:val="22"/>
          <w:szCs w:val="22"/>
        </w:rPr>
        <w:t xml:space="preserve">Three demonstration scenarios are implemented as one-click quick-start buttons in the UI. Each scenario is designed to showcase a distinct agent capability:</w:t>
      </w:r>
    </w:p>
    <w:p>
      <w:pPr>
        <w:spacing w:after="80"/>
      </w:pPr>
      <w:r>
        <w:t xml:space="preserve"/>
      </w:r>
    </w:p>
    <w:p>
      <w:pPr>
        <w:spacing w:after="80" w:before="180"/>
      </w:pPr>
      <w:r>
        <w:rPr>
          <w:rFonts w:ascii="Arial" w:cs="Arial" w:eastAsia="Arial" w:hAnsi="Arial"/>
          <w:b/>
          <w:bCs/>
          <w:color w:val="0D2137"/>
          <w:sz w:val="22"/>
          <w:szCs w:val="22"/>
        </w:rPr>
        <w:t xml:space="preserve">Scenario 1 — Proactive Anomaly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1F5EE" w:val="clear"/>
            <w:tcMar>
              <w:top w:type="dxa" w:w="120"/>
              <w:left w:type="dxa" w:w="180"/>
              <w:bottom w:type="dxa" w:w="120"/>
              <w:right w:type="dxa" w:w="180"/>
            </w:tcMar>
          </w:tcPr>
          <w:p>
            <w:r>
              <w:rPr>
                <w:rFonts w:ascii="Arial" w:cs="Arial" w:eastAsia="Arial" w:hAnsi="Arial"/>
                <w:b/>
                <w:bCs/>
                <w:color w:val="085041"/>
                <w:sz w:val="20"/>
                <w:szCs w:val="20"/>
              </w:rPr>
              <w:t xml:space="preserve">Agent capability: Autonomous proactive action (no user prompt required)</w:t>
            </w:r>
          </w:p>
          <w:p>
            <w:pPr>
              <w:spacing w:after="0"/>
            </w:pPr>
            <w:r>
              <w:rPr>
                <w:rFonts w:ascii="Arial" w:cs="Arial" w:eastAsia="Arial" w:hAnsi="Arial"/>
                <w:color w:val="444444"/>
                <w:sz w:val="20"/>
                <w:szCs w:val="20"/>
              </w:rPr>
              <w:t xml:space="preserve">On application load, the agent detects that today's sleep (4.8h) is below the anomaly threshold and that this is the third consecutive day of declining sleep. Without any user input, the agent fires a proactive alert citing specific data values and providing recovery recommendations. Tool calls: assess_health_status → get_health_trend → query_knowledge_base → get_user_profile.</w:t>
            </w:r>
          </w:p>
        </w:tc>
      </w:tr>
    </w:tbl>
    <w:p>
      <w:pPr>
        <w:spacing w:after="120"/>
      </w:pPr>
      <w:r>
        <w:t xml:space="preserve"/>
      </w:r>
    </w:p>
    <w:p>
      <w:pPr>
        <w:spacing w:after="80" w:before="180"/>
      </w:pPr>
      <w:r>
        <w:rPr>
          <w:rFonts w:ascii="Arial" w:cs="Arial" w:eastAsia="Arial" w:hAnsi="Arial"/>
          <w:b/>
          <w:bCs/>
          <w:color w:val="0D2137"/>
          <w:sz w:val="22"/>
          <w:szCs w:val="22"/>
        </w:rPr>
        <w:t xml:space="preserve">Scenario 2 — Conversational Health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6F1FB" w:val="clear"/>
            <w:tcMar>
              <w:top w:type="dxa" w:w="120"/>
              <w:left w:type="dxa" w:w="180"/>
              <w:bottom w:type="dxa" w:w="120"/>
              <w:right w:type="dxa" w:w="180"/>
            </w:tcMar>
          </w:tcPr>
          <w:p>
            <w:r>
              <w:rPr>
                <w:rFonts w:ascii="Arial" w:cs="Arial" w:eastAsia="Arial" w:hAnsi="Arial"/>
                <w:b/>
                <w:bCs/>
                <w:color w:val="0C447C"/>
                <w:sz w:val="20"/>
                <w:szCs w:val="20"/>
              </w:rPr>
              <w:t xml:space="preserve">Agent capability: Multi-tool reasoning with evidence-grounded response</w:t>
            </w:r>
          </w:p>
          <w:p>
            <w:pPr>
              <w:spacing w:after="0"/>
            </w:pPr>
            <w:r>
              <w:rPr>
                <w:rFonts w:ascii="Arial" w:cs="Arial" w:eastAsia="Arial" w:hAnsi="Arial"/>
                <w:color w:val="444444"/>
                <w:sz w:val="20"/>
                <w:szCs w:val="20"/>
              </w:rPr>
              <w:t xml:space="preserve">User asks: 'How was my health this week?' — The agent calls get_health_trend(days=7) to retrieve weekly data, then query_knowledge_base to find relevant WHO guidelines, and get_user_profile to personalize the response. The final answer references actual data values and avoids topics the user has previously disliked. Tool calls visible in UI in real time.</w:t>
            </w:r>
          </w:p>
        </w:tc>
      </w:tr>
    </w:tbl>
    <w:p>
      <w:pPr>
        <w:spacing w:after="120"/>
      </w:pPr>
      <w:r>
        <w:t xml:space="preserve"/>
      </w:r>
    </w:p>
    <w:p>
      <w:pPr>
        <w:spacing w:after="80" w:before="180"/>
      </w:pPr>
      <w:r>
        <w:rPr>
          <w:rFonts w:ascii="Arial" w:cs="Arial" w:eastAsia="Arial" w:hAnsi="Arial"/>
          <w:b/>
          <w:bCs/>
          <w:color w:val="0D2137"/>
          <w:sz w:val="22"/>
          <w:szCs w:val="22"/>
        </w:rPr>
        <w:t xml:space="preserve">Scenario 3 — Adaptive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EDFE" w:val="clear"/>
            <w:tcMar>
              <w:top w:type="dxa" w:w="120"/>
              <w:left w:type="dxa" w:w="180"/>
              <w:bottom w:type="dxa" w:w="120"/>
              <w:right w:type="dxa" w:w="180"/>
            </w:tcMar>
          </w:tcPr>
          <w:p>
            <w:r>
              <w:rPr>
                <w:rFonts w:ascii="Arial" w:cs="Arial" w:eastAsia="Arial" w:hAnsi="Arial"/>
                <w:b/>
                <w:bCs/>
                <w:color w:val="3C3489"/>
                <w:sz w:val="20"/>
                <w:szCs w:val="20"/>
              </w:rPr>
              <w:t xml:space="preserve">Agent capability: Memory-driven behavioral adaptation across sessions</w:t>
            </w:r>
          </w:p>
          <w:p>
            <w:pPr>
              <w:spacing w:after="0"/>
            </w:pPr>
            <w:r>
              <w:rPr>
                <w:rFonts w:ascii="Arial" w:cs="Arial" w:eastAsia="Arial" w:hAnsi="Arial"/>
                <w:color w:val="444444"/>
                <w:sz w:val="20"/>
                <w:szCs w:val="20"/>
              </w:rPr>
              <w:t xml:space="preserve">User rates a sleep recommendation as unhelpful (thumbs down). The feedback is saved with tag 'sleep-nap'. After two negative ratings on this tag, it is added to disliked_tags. In the next session, the agent loads the updated profile and stops recommending naps — demonstrating verifiable behavioral change without re-programming.</w:t>
            </w:r>
          </w:p>
        </w:tc>
      </w:tr>
    </w:tbl>
    <w:p>
      <w:pPr>
        <w:spacing w:after="160"/>
      </w:pPr>
      <w:r>
        <w:t xml:space="preserve"/>
      </w:r>
    </w:p>
    <w:p>
      <w:pPr>
        <w:pStyle w:val="Heading1"/>
        <w:spacing w:after="160" w:before="320"/>
      </w:pPr>
      <w:r>
        <w:rPr>
          <w:rFonts w:ascii="Arial" w:cs="Arial" w:eastAsia="Arial" w:hAnsi="Arial"/>
          <w:b/>
          <w:bCs/>
          <w:color w:val="0D2137"/>
          <w:sz w:val="32"/>
          <w:szCs w:val="32"/>
        </w:rPr>
        <w:t xml:space="preserve">7. How HealthAgent Differs from a Standard LLM Application</w:t>
      </w:r>
    </w:p>
    <w:p>
      <w:pPr>
        <w:spacing w:after="120" w:line="320"/>
      </w:pPr>
      <w:r>
        <w:rPr>
          <w:rFonts w:ascii="Arial" w:cs="Arial" w:eastAsia="Arial" w:hAnsi="Arial"/>
          <w:color w:val="2D3748"/>
          <w:sz w:val="22"/>
          <w:szCs w:val="22"/>
        </w:rPr>
        <w:t xml:space="preserve">The distinction between HealthAgent and a standard LLM application (e.g. a chatbot wrapper around GPT-4o) is fundamental, not superficial:</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08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Standard LLM App</w:t>
            </w:r>
          </w:p>
        </w:tc>
        <w:tc>
          <w:tcPr>
            <w:tcW w:type="dxa" w:w="3880"/>
            <w:tcBorders>
              <w:top w:val="single" w:color="E2E8F0" w:sz="1"/>
              <w:left w:val="single" w:color="E2E8F0" w:sz="1"/>
              <w:bottom w:val="single" w:color="E2E8F0" w:sz="1"/>
              <w:right w:val="single" w:color="E2E8F0"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HealthAgent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Information source</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Only the current conversation</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Real SQLite data + FAISS knowledge base + user history</w:t>
            </w:r>
          </w:p>
        </w:tc>
      </w:tr>
      <w:tr>
        <w:tc>
          <w:tcPr>
            <w:tcW w:type="dxa" w:w="24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Trigger mechanism</w:t>
            </w:r>
          </w:p>
        </w:tc>
        <w:tc>
          <w:tcPr>
            <w:tcW w:type="dxa" w:w="308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User must ask first</w:t>
            </w:r>
          </w:p>
        </w:tc>
        <w:tc>
          <w:tcPr>
            <w:tcW w:type="dxa" w:w="388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Proactively triggers on anomaly detection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Execution capability</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Text output only</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Calls 5 tools, reads/writes database, generates reports</w:t>
            </w:r>
          </w:p>
        </w:tc>
      </w:tr>
      <w:tr>
        <w:tc>
          <w:tcPr>
            <w:tcW w:type="dxa" w:w="24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Memory</w:t>
            </w:r>
          </w:p>
        </w:tc>
        <w:tc>
          <w:tcPr>
            <w:tcW w:type="dxa" w:w="308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Lost when conversation ends</w:t>
            </w:r>
          </w:p>
        </w:tc>
        <w:tc>
          <w:tcPr>
            <w:tcW w:type="dxa" w:w="388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Three-tier memory: short-term, long-term, episodic</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Personalization</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Generic for all users</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Adapts to individual feedback; avoids disliked topics</w:t>
            </w:r>
          </w:p>
        </w:tc>
      </w:tr>
      <w:tr>
        <w:tc>
          <w:tcPr>
            <w:tcW w:type="dxa" w:w="240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Transparency</w:t>
            </w:r>
          </w:p>
        </w:tc>
        <w:tc>
          <w:tcPr>
            <w:tcW w:type="dxa" w:w="308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Black-box response</w:t>
            </w:r>
          </w:p>
        </w:tc>
        <w:tc>
          <w:tcPr>
            <w:tcW w:type="dxa" w:w="3880"/>
            <w:tcBorders>
              <w:top w:val="single" w:color="E2E8F0" w:sz="1"/>
              <w:left w:val="single" w:color="E2E8F0" w:sz="1"/>
              <w:bottom w:val="single" w:color="E2E8F0" w:sz="1"/>
              <w:right w:val="single" w:color="E2E8F0" w:sz="1"/>
            </w:tcBorders>
            <w:shd w:fill="F8FAFB" w:val="clear"/>
            <w:tcMar>
              <w:top w:type="dxa" w:w="80"/>
              <w:left w:type="dxa" w:w="120"/>
              <w:bottom w:type="dxa" w:w="80"/>
              <w:right w:type="dxa" w:w="120"/>
            </w:tcMar>
          </w:tcPr>
          <w:p>
            <w:r>
              <w:rPr>
                <w:rFonts w:ascii="Arial" w:cs="Arial" w:eastAsia="Arial" w:hAnsi="Arial"/>
                <w:b w:val="false"/>
                <w:bCs w:val="false"/>
                <w:color w:val="444444"/>
                <w:sz w:val="19"/>
                <w:szCs w:val="19"/>
              </w:rPr>
              <w:t xml:space="preserve">Full ReAct reasoning trace visible in UI per query</w:t>
            </w:r>
          </w:p>
        </w:tc>
      </w:tr>
    </w:tbl>
    <w:p>
      <w:pPr>
        <w:spacing w:after="80"/>
      </w:pPr>
      <w:r>
        <w:t xml:space="preserve"/>
      </w:r>
    </w:p>
    <w:p>
      <w:pPr>
        <w:spacing w:after="120" w:line="320"/>
      </w:pPr>
      <w:r>
        <w:rPr>
          <w:rFonts w:ascii="Arial" w:cs="Arial" w:eastAsia="Arial" w:hAnsi="Arial"/>
          <w:color w:val="2D3748"/>
          <w:sz w:val="22"/>
          <w:szCs w:val="22"/>
        </w:rPr>
        <w:t xml:space="preserve">In essence: a standard LLM application is a sophisticated text generator. HealthAgent is an autonomous system that perceives its environment, reasons over real data, executes actions through tools, and learns from user feedback — the defining characteristics of an AI agent.</w:t>
      </w:r>
    </w:p>
    <w:p>
      <w:pPr>
        <w:spacing w:after="160"/>
      </w:pPr>
      <w:r>
        <w:t xml:space="preserve"/>
      </w:r>
    </w:p>
    <w:p>
      <w:pPr>
        <w:pStyle w:val="Heading1"/>
        <w:spacing w:after="160" w:before="320"/>
      </w:pPr>
      <w:r>
        <w:rPr>
          <w:rFonts w:ascii="Arial" w:cs="Arial" w:eastAsia="Arial" w:hAnsi="Arial"/>
          <w:b/>
          <w:bCs/>
          <w:color w:val="0D2137"/>
          <w:sz w:val="32"/>
          <w:szCs w:val="32"/>
        </w:rPr>
        <w:t xml:space="preserve">8. Limitations &amp; Future Work</w:t>
      </w:r>
    </w:p>
    <w:p>
      <w:pPr>
        <w:spacing w:after="120" w:line="320"/>
      </w:pPr>
      <w:r>
        <w:rPr>
          <w:rFonts w:ascii="Arial" w:cs="Arial" w:eastAsia="Arial" w:hAnsi="Arial"/>
          <w:color w:val="2D3748"/>
          <w:sz w:val="22"/>
          <w:szCs w:val="22"/>
        </w:rPr>
        <w:t xml:space="preserve">The current implementation has several known limitations that represent clear directions for future development:</w:t>
      </w:r>
    </w:p>
    <w:p>
      <w:pPr>
        <w:spacing w:after="40"/>
      </w:pPr>
      <w:r>
        <w:t xml:space="preserve"/>
      </w:r>
    </w:p>
    <w:p>
      <w:pPr>
        <w:pStyle w:val="ListParagraph"/>
        <w:numPr>
          <w:ilvl w:val="0"/>
          <w:numId w:val="2"/>
        </w:numPr>
        <w:spacing w:after="80" w:line="300"/>
      </w:pPr>
      <w:r>
        <w:rPr>
          <w:rFonts w:ascii="Arial" w:cs="Arial" w:eastAsia="Arial" w:hAnsi="Arial"/>
          <w:b/>
          <w:bCs/>
          <w:color w:val="0D2137"/>
          <w:sz w:val="22"/>
          <w:szCs w:val="22"/>
        </w:rPr>
        <w:t xml:space="preserve">Data source: </w:t>
      </w:r>
      <w:r>
        <w:rPr>
          <w:rFonts w:ascii="Arial" w:cs="Arial" w:eastAsia="Arial" w:hAnsi="Arial"/>
          <w:color w:val="2D3748"/>
          <w:sz w:val="22"/>
          <w:szCs w:val="22"/>
        </w:rPr>
        <w:t xml:space="preserve">Simulated data only — the system uses generated health data rather than a real wearable API (e.g. Apple HealthKit, Fitbit API). Integrating a real data source would require handling data inconsistencies, permission flows, and variable sampling rates.</w:t>
      </w:r>
    </w:p>
    <w:p>
      <w:pPr>
        <w:pStyle w:val="ListParagraph"/>
        <w:numPr>
          <w:ilvl w:val="0"/>
          <w:numId w:val="2"/>
        </w:numPr>
        <w:spacing w:after="80" w:line="300"/>
      </w:pPr>
      <w:r>
        <w:rPr>
          <w:rFonts w:ascii="Arial" w:cs="Arial" w:eastAsia="Arial" w:hAnsi="Arial"/>
          <w:b/>
          <w:bCs/>
          <w:color w:val="0D2137"/>
          <w:sz w:val="22"/>
          <w:szCs w:val="22"/>
        </w:rPr>
        <w:t xml:space="preserve">Anomaly detection: </w:t>
      </w:r>
      <w:r>
        <w:rPr>
          <w:rFonts w:ascii="Arial" w:cs="Arial" w:eastAsia="Arial" w:hAnsi="Arial"/>
          <w:color w:val="2D3748"/>
          <w:sz w:val="22"/>
          <w:szCs w:val="22"/>
        </w:rPr>
        <w:t xml:space="preserve">Statistical anomaly detection — the perception layer uses Z-score thresholds rather than a trained ML model. An Isolation Forest or LSTM-based detector would better handle multi-variate anomaly patterns and adapt to individual baselines over time.</w:t>
      </w:r>
    </w:p>
    <w:p>
      <w:pPr>
        <w:pStyle w:val="ListParagraph"/>
        <w:numPr>
          <w:ilvl w:val="0"/>
          <w:numId w:val="2"/>
        </w:numPr>
        <w:spacing w:after="80" w:line="300"/>
      </w:pPr>
      <w:r>
        <w:rPr>
          <w:rFonts w:ascii="Arial" w:cs="Arial" w:eastAsia="Arial" w:hAnsi="Arial"/>
          <w:b/>
          <w:bCs/>
          <w:color w:val="0D2137"/>
          <w:sz w:val="22"/>
          <w:szCs w:val="22"/>
        </w:rPr>
        <w:t xml:space="preserve">RAG coverage: </w:t>
      </w:r>
      <w:r>
        <w:rPr>
          <w:rFonts w:ascii="Arial" w:cs="Arial" w:eastAsia="Arial" w:hAnsi="Arial"/>
          <w:color w:val="2D3748"/>
          <w:sz w:val="22"/>
          <w:szCs w:val="22"/>
        </w:rPr>
        <w:t xml:space="preserve">Knowledge base scale — 30 health facts provide sufficient coverage for demonstration but would need to expand to a curated medical corpus (e.g. PubMed abstracts, clinical guidelines databases) for production use.</w:t>
      </w:r>
    </w:p>
    <w:p>
      <w:pPr>
        <w:pStyle w:val="ListParagraph"/>
        <w:numPr>
          <w:ilvl w:val="0"/>
          <w:numId w:val="2"/>
        </w:numPr>
        <w:spacing w:after="80" w:line="300"/>
      </w:pPr>
      <w:r>
        <w:rPr>
          <w:rFonts w:ascii="Arial" w:cs="Arial" w:eastAsia="Arial" w:hAnsi="Arial"/>
          <w:b/>
          <w:bCs/>
          <w:color w:val="0D2137"/>
          <w:sz w:val="22"/>
          <w:szCs w:val="22"/>
        </w:rPr>
        <w:t xml:space="preserve">Multi-user support: </w:t>
      </w:r>
      <w:r>
        <w:rPr>
          <w:rFonts w:ascii="Arial" w:cs="Arial" w:eastAsia="Arial" w:hAnsi="Arial"/>
          <w:color w:val="2D3748"/>
          <w:sz w:val="22"/>
          <w:szCs w:val="22"/>
        </w:rPr>
        <w:t xml:space="preserve">Single-user system — the current architecture stores one user profile in SQLite. A multi-user deployment would require authentication, profile isolation, and a scalable backend (e.g. PostgreSQL, Redis for session state).</w:t>
      </w:r>
    </w:p>
    <w:p>
      <w:pPr>
        <w:pStyle w:val="ListParagraph"/>
        <w:numPr>
          <w:ilvl w:val="0"/>
          <w:numId w:val="2"/>
        </w:numPr>
        <w:spacing w:after="80" w:line="300"/>
      </w:pPr>
      <w:r>
        <w:rPr>
          <w:rFonts w:ascii="Arial" w:cs="Arial" w:eastAsia="Arial" w:hAnsi="Arial"/>
          <w:b/>
          <w:bCs/>
          <w:color w:val="0D2137"/>
          <w:sz w:val="22"/>
          <w:szCs w:val="22"/>
        </w:rPr>
        <w:t xml:space="preserve">API layer: </w:t>
      </w:r>
      <w:r>
        <w:rPr>
          <w:rFonts w:ascii="Arial" w:cs="Arial" w:eastAsia="Arial" w:hAnsi="Arial"/>
          <w:color w:val="2D3748"/>
          <w:sz w:val="22"/>
          <w:szCs w:val="22"/>
        </w:rPr>
        <w:t xml:space="preserve">No REST API layer — the Streamlit interface is tightly coupled to the agent. Decoupling via a REST API would allow mobile app integration, enabling a UI/UX designer to build a native mobile frontend consuming the same agent backend.</w:t>
      </w:r>
    </w:p>
    <w:p>
      <w:pPr>
        <w:spacing w:after="160"/>
      </w:pPr>
      <w:r>
        <w:t xml:space="preserve"/>
      </w:r>
    </w:p>
    <w:p>
      <w:pPr>
        <w:pStyle w:val="Heading1"/>
        <w:spacing w:after="160" w:before="320"/>
      </w:pPr>
      <w:r>
        <w:rPr>
          <w:rFonts w:ascii="Arial" w:cs="Arial" w:eastAsia="Arial" w:hAnsi="Arial"/>
          <w:b/>
          <w:bCs/>
          <w:color w:val="0D2137"/>
          <w:sz w:val="32"/>
          <w:szCs w:val="32"/>
        </w:rPr>
        <w:t xml:space="preserve">9. Conclusion</w:t>
      </w:r>
    </w:p>
    <w:p>
      <w:pPr>
        <w:spacing w:after="120" w:line="320"/>
      </w:pPr>
      <w:r>
        <w:rPr>
          <w:rFonts w:ascii="Arial" w:cs="Arial" w:eastAsia="Arial" w:hAnsi="Arial"/>
          <w:color w:val="2D3748"/>
          <w:sz w:val="22"/>
          <w:szCs w:val="22"/>
        </w:rPr>
        <w:t xml:space="preserve">HealthAgent demonstrates a complete implementation of AI agent principles applied to the personal health monitoring domain. The system successfully integrates the four core characteristics that define an agent: perception of real-world data (Layer 1), autonomous multi-step reasoning via the ReAct framework (Layer 2), tool-mediated action (Layer 3), and adaptive learning from user feedback (Layer 5).</w:t>
      </w:r>
    </w:p>
    <w:p>
      <w:pPr>
        <w:spacing w:after="80"/>
      </w:pPr>
      <w:r>
        <w:t xml:space="preserve"/>
      </w:r>
    </w:p>
    <w:p>
      <w:pPr>
        <w:spacing w:after="120" w:line="320"/>
      </w:pPr>
      <w:r>
        <w:rPr>
          <w:rFonts w:ascii="Arial" w:cs="Arial" w:eastAsia="Arial" w:hAnsi="Arial"/>
          <w:color w:val="2D3748"/>
          <w:sz w:val="22"/>
          <w:szCs w:val="22"/>
        </w:rPr>
        <w:t xml:space="preserve">The use of LangChain's AgentExecutor with function-calling, FAISS-based RAG for evidence grounding, and a three-tier memory architecture (short-term, long-term, episodic) together produce a system that is meaningfully more capable than a standard LLM application — not just in degree, but in kind. The agent initiates communication without being prompted, retrieves grounded knowledge before responding, and changes its behavior based on accumulated feedback across sessions.</w:t>
      </w:r>
    </w:p>
    <w:p>
      <w:pPr>
        <w:spacing w:after="80"/>
      </w:pPr>
      <w:r>
        <w:t xml:space="preserve"/>
      </w:r>
    </w:p>
    <w:p>
      <w:pPr>
        <w:spacing w:after="120" w:line="320"/>
      </w:pPr>
      <w:r>
        <w:rPr>
          <w:rFonts w:ascii="Arial" w:cs="Arial" w:eastAsia="Arial" w:hAnsi="Arial"/>
          <w:color w:val="2D3748"/>
          <w:sz w:val="22"/>
          <w:szCs w:val="22"/>
        </w:rPr>
        <w:t xml:space="preserve">The project validates that the perception-reasoning-action-feedback loop is achievable within the constraints of a course project, using accessible tools (LangChain, OpenAI API, FAISS, SQLite, Streamlit) and a focused domain scope. The architecture is intentionally modular: each layer can be upgraded independently, and the system is designed to scale toward a production mobile application with a dedicated UI/UX layer consuming the agent via REST API.</w:t>
      </w:r>
    </w:p>
    <w:p>
      <w:pPr>
        <w:spacing w:after="160"/>
      </w:pPr>
      <w:r>
        <w:t xml:space="preserve"/>
      </w:r>
    </w:p>
    <w:p>
      <w:pPr>
        <w:pStyle w:val="Heading1"/>
        <w:spacing w:after="160" w:before="320"/>
      </w:pPr>
      <w:r>
        <w:rPr>
          <w:rFonts w:ascii="Arial" w:cs="Arial" w:eastAsia="Arial" w:hAnsi="Arial"/>
          <w:b/>
          <w:bCs/>
          <w:color w:val="0D2137"/>
          <w:sz w:val="32"/>
          <w:szCs w:val="32"/>
        </w:rPr>
        <w:t xml:space="preserve">References</w:t>
      </w:r>
    </w:p>
    <w:p>
      <w:pPr>
        <w:spacing w:after="80" w:line="300"/>
      </w:pPr>
      <w:r>
        <w:rPr>
          <w:rFonts w:ascii="Arial" w:cs="Arial" w:eastAsia="Arial" w:hAnsi="Arial"/>
          <w:color w:val="444444"/>
          <w:sz w:val="20"/>
          <w:szCs w:val="20"/>
        </w:rPr>
        <w:t xml:space="preserve">Yao, S. et al. (2022). ReAct: Synergizing Reasoning and Acting in Language Models. arXiv:2210.03629.</w:t>
      </w:r>
    </w:p>
    <w:p>
      <w:pPr>
        <w:spacing w:after="80" w:line="300"/>
      </w:pPr>
      <w:r>
        <w:rPr>
          <w:rFonts w:ascii="Arial" w:cs="Arial" w:eastAsia="Arial" w:hAnsi="Arial"/>
          <w:color w:val="444444"/>
          <w:sz w:val="20"/>
          <w:szCs w:val="20"/>
        </w:rPr>
        <w:t xml:space="preserve">Lewis, P. et al. (2020). Retrieval-Augmented Generation for Knowledge-Intensive NLP Tasks. NeurIPS 2020.</w:t>
      </w:r>
    </w:p>
    <w:p>
      <w:pPr>
        <w:spacing w:after="80" w:line="300"/>
      </w:pPr>
      <w:r>
        <w:rPr>
          <w:rFonts w:ascii="Arial" w:cs="Arial" w:eastAsia="Arial" w:hAnsi="Arial"/>
          <w:color w:val="444444"/>
          <w:sz w:val="20"/>
          <w:szCs w:val="20"/>
        </w:rPr>
        <w:t xml:space="preserve">World Health Organization. (2020). WHO Guidelines on Physical Activity and Sedentary Behaviour.</w:t>
      </w:r>
    </w:p>
    <w:p>
      <w:pPr>
        <w:spacing w:after="80" w:line="300"/>
      </w:pPr>
      <w:r>
        <w:rPr>
          <w:rFonts w:ascii="Arial" w:cs="Arial" w:eastAsia="Arial" w:hAnsi="Arial"/>
          <w:color w:val="444444"/>
          <w:sz w:val="20"/>
          <w:szCs w:val="20"/>
        </w:rPr>
        <w:t xml:space="preserve">Chase, H. (2022). LangChain. https://github.com/langchain-ai/langchain</w:t>
      </w:r>
    </w:p>
    <w:p>
      <w:pPr>
        <w:spacing w:after="80" w:line="300"/>
      </w:pPr>
      <w:r>
        <w:rPr>
          <w:rFonts w:ascii="Arial" w:cs="Arial" w:eastAsia="Arial" w:hAnsi="Arial"/>
          <w:color w:val="444444"/>
          <w:sz w:val="20"/>
          <w:szCs w:val="20"/>
        </w:rPr>
        <w:t xml:space="preserve">Johnson, J. et al. (2019). Billion-scale similarity search with GPUs. IEEE Transactions on Big Data (FAISS).</w:t>
      </w:r>
    </w:p>
    <w:p>
      <w:pPr>
        <w:spacing w:after="80" w:line="300"/>
      </w:pPr>
      <w:r>
        <w:rPr>
          <w:rFonts w:ascii="Arial" w:cs="Arial" w:eastAsia="Arial" w:hAnsi="Arial"/>
          <w:color w:val="444444"/>
          <w:sz w:val="20"/>
          <w:szCs w:val="20"/>
        </w:rPr>
        <w:t xml:space="preserve">National Sleep Foundation. (2015). Sleep Duration Recommendations. Sleep Health, 1(1), 40-43.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HealthAgent — AI Agent Course Final Project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21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A7C6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2026-04-21T23:45:46.410Z</dcterms:created>
  <dcterms:modified xsi:type="dcterms:W3CDTF">2026-04-21T23:45:46.411Z</dcterms:modified>
</cp:coreProperties>
</file>

<file path=docProps/custom.xml><?xml version="1.0" encoding="utf-8"?>
<Properties xmlns="http://schemas.openxmlformats.org/officeDocument/2006/custom-properties" xmlns:vt="http://schemas.openxmlformats.org/officeDocument/2006/docPropsVTypes"/>
</file>