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160"/>
        <w:jc w:val="center"/>
      </w:pPr>
      <w:r>
        <w:rPr>
          <w:rFonts w:ascii="Times New Roman" w:hAnsi="Times New Roman" w:eastAsia="黑体"/>
          <w:b/>
          <w:i w:val="0"/>
          <w:color w:val="000000"/>
          <w:sz w:val="36"/>
        </w:rPr>
        <w:t>EvoFactSkill  基于域情景元门控的跨域假新闻检测技能进化方法</w:t>
      </w:r>
    </w:p>
    <w:p>
      <w:pPr>
        <w:spacing w:after="200"/>
        <w:jc w:val="center"/>
      </w:pPr>
      <w:r>
        <w:rPr>
          <w:rFonts w:ascii="Times New Roman" w:hAnsi="Times New Roman" w:eastAsia="黑体"/>
          <w:b/>
          <w:i w:val="0"/>
          <w:color w:val="000000"/>
          <w:sz w:val="22"/>
        </w:rPr>
        <w:t>中文技术报告与投稿初稿</w:t>
      </w:r>
    </w:p>
    <w:p>
      <w:pPr>
        <w:spacing w:after="100"/>
        <w:ind w:left="340" w:right="340"/>
        <w:jc w:val="both"/>
      </w:pPr>
      <w:r>
        <w:rPr>
          <w:rFonts w:ascii="Times New Roman" w:hAnsi="Times New Roman" w:eastAsia="黑体"/>
          <w:b/>
          <w:i w:val="0"/>
          <w:color w:val="000000"/>
          <w:sz w:val="21"/>
        </w:rPr>
        <w:t xml:space="preserve">摘  要  </w:t>
      </w:r>
      <w:r>
        <w:rPr>
          <w:rFonts w:ascii="Times New Roman" w:hAnsi="Times New Roman" w:eastAsia="宋体"/>
          <w:b w:val="0"/>
          <w:i w:val="0"/>
          <w:color w:val="000000"/>
          <w:sz w:val="19"/>
        </w:rPr>
        <w:t>跨域分布偏移、证据时效变化与大语言模型幻觉使假新闻检测系统难以依靠固定提示词或静态多智能体流程长期保持可靠性。本文提出EvoFactSkill及其核心方法域情景元门控技能进化DEMSE。在每个元学习情景中，DEMSE按领域而非样本划分元训练域和元测试域：元训练域执行前向核验、错误归因和经验蒸馏，在离散技能空间内生成SkillBank候选；元测试域模拟未知目标域，仅评价候选的迁移效用并控制外层更新。错误归因、技能生命周期、负迁移控制与统计门控由此统一为一个双层元进化过程，而不是彼此独立的功能模块。为降低单次域划分的偶然性，方法轮换多个域级情景，联合候选在不同元测试域上的平均增益、最差域退化、覆盖率、校准误差和调用成本，并利用配对统计区间决定晋升、特化、Pareto保留或淘汰。底层语言模型在整个实验期间保持冻结，最终测试域与所有元测试域相互独立，使性能变化可以归因于技能库及其路由策略的跨域进化。本文实现了包含9个种子技能、四类数据适配器、内容寻址版本库和20项自动化测试的研究原型，验证了技能生成、门控和回滚链路的功能正确性；真实数据集上的跨域性能仍需通过留一域和跨数据集实验完成。</w:t>
      </w:r>
    </w:p>
    <w:p>
      <w:pPr>
        <w:spacing w:after="140"/>
        <w:ind w:left="340" w:right="340"/>
      </w:pPr>
      <w:r>
        <w:rPr>
          <w:rFonts w:ascii="Times New Roman" w:hAnsi="Times New Roman" w:eastAsia="黑体"/>
          <w:b/>
          <w:i w:val="0"/>
          <w:color w:val="000000"/>
          <w:sz w:val="19"/>
        </w:rPr>
        <w:t xml:space="preserve">关键词  </w:t>
      </w:r>
      <w:r>
        <w:rPr>
          <w:rFonts w:ascii="Times New Roman" w:hAnsi="Times New Roman" w:eastAsia="宋体"/>
          <w:b w:val="0"/>
          <w:i w:val="0"/>
          <w:color w:val="000000"/>
          <w:sz w:val="19"/>
        </w:rPr>
        <w:t>假新闻检测  跨域泛化  元学习  技能自进化  大语言模型智能体  负迁移</w:t>
      </w:r>
    </w:p>
    <w:p>
      <w:pPr>
        <w:spacing w:before="80" w:after="100"/>
        <w:jc w:val="center"/>
      </w:pPr>
      <w:r>
        <w:rPr>
          <w:rFonts w:ascii="Times New Roman" w:hAnsi="Times New Roman" w:eastAsia="宋体"/>
          <w:b/>
          <w:i w:val="0"/>
          <w:color w:val="000000"/>
          <w:sz w:val="26"/>
        </w:rPr>
        <w:t>EvoFactSkill  Domain Episodic Meta Gated Skill Evolution for Cross Domain Fake News Detection</w:t>
      </w:r>
    </w:p>
    <w:p>
      <w:pPr>
        <w:spacing w:after="100"/>
        <w:ind w:left="340" w:right="340"/>
        <w:jc w:val="both"/>
      </w:pPr>
      <w:r>
        <w:rPr>
          <w:rFonts w:ascii="Times New Roman" w:hAnsi="Times New Roman" w:eastAsia="宋体"/>
          <w:b/>
          <w:i w:val="0"/>
          <w:color w:val="000000"/>
          <w:sz w:val="19"/>
        </w:rPr>
        <w:t xml:space="preserve">Abstract  </w:t>
      </w:r>
      <w:r>
        <w:rPr>
          <w:rFonts w:ascii="Times New Roman" w:hAnsi="Times New Roman" w:eastAsia="宋体"/>
          <w:b w:val="0"/>
          <w:i w:val="0"/>
          <w:color w:val="000000"/>
          <w:sz w:val="18"/>
        </w:rPr>
        <w:t>Cross-domain distribution shift, time-varying evidence, and hallucinations of large language models make static prompts and fixed multi-agent pipelines unreliable for long-term fake-news detection. We present EvoFactSkill and its central method, Domain-Episodic Meta-Gated Skill Evolution (DEMSE). In each episode, source domains are divided at the domain level into meta-train and meta-test subsets. Meta-train domains produce verification traces and skill candidates through error attribution and experience distillation, whereas meta-test domains simulate unseen targets and control the outer SkillBank update according to transfer utility. This bi-level procedure unifies attribution, lifecycle operations, negative-transfer control, and statistical gating as stages of one discrete meta-optimization method. Candidate utility is aggregated across rotating domain episodes under joint constraints on all-sample macro-F1, worst-domain regression, coverage, calibration, and cost. The underlying language model remains frozen, and final test domains are never used as meta-test domains. The prototype provides nine seed skills, four dataset adapters, an auditable version repository, and twenty offline automated tests.</w:t>
      </w:r>
    </w:p>
    <w:p>
      <w:pPr>
        <w:spacing w:after="200"/>
        <w:ind w:left="340" w:right="340"/>
      </w:pPr>
      <w:r>
        <w:rPr>
          <w:rFonts w:ascii="Times New Roman" w:hAnsi="Times New Roman" w:eastAsia="宋体"/>
          <w:b/>
          <w:i w:val="0"/>
          <w:color w:val="000000"/>
          <w:sz w:val="18"/>
        </w:rPr>
        <w:t xml:space="preserve">Key words  </w:t>
      </w:r>
      <w:r>
        <w:rPr>
          <w:rFonts w:ascii="Times New Roman" w:hAnsi="Times New Roman" w:eastAsia="宋体"/>
          <w:b w:val="0"/>
          <w:i w:val="0"/>
          <w:color w:val="000000"/>
          <w:sz w:val="18"/>
        </w:rPr>
        <w:t>fake news detection; cross-domain generalization; meta-learning; self-evolving skills; large language model agents; negative transfer</w:t>
      </w:r>
    </w:p>
    <w:p>
      <w:pPr>
        <w:pStyle w:val="Heading1"/>
        <w:keepNext/>
        <w:spacing w:before="160" w:after="80"/>
        <w:ind w:firstLine="0"/>
      </w:pPr>
      <w:r>
        <w:rPr>
          <w:rFonts w:ascii="Times New Roman" w:hAnsi="Times New Roman" w:eastAsia="黑体"/>
          <w:b/>
          <w:i w:val="0"/>
          <w:color w:val="000000"/>
          <w:sz w:val="28"/>
        </w:rPr>
        <w:t>1 引言</w:t>
      </w:r>
    </w:p>
    <w:p>
      <w:pPr>
        <w:keepNext w:val="0"/>
        <w:spacing w:before="0" w:after="60" w:lineRule="auto" w:line="293"/>
        <w:ind w:firstLine="420"/>
        <w:jc w:val="both"/>
      </w:pPr>
      <w:r>
        <w:rPr>
          <w:rFonts w:ascii="Times New Roman" w:hAnsi="Times New Roman" w:eastAsia="宋体"/>
          <w:b w:val="0"/>
          <w:i w:val="0"/>
          <w:color w:val="000000"/>
          <w:sz w:val="21"/>
        </w:rPr>
        <w:t>假新闻检测已从依赖文本风格、传播结构或用户交互特征的静态分类问题，逐步转向结合外部证据、复杂推理和不确定性表达的事实核验问题。近期研究表明，大语言模型能够提升实体、主题和语义关系建模能力，但直接将模型嵌入或零样本判决用于假新闻检测并不稳定；当证据不足、新闻由模型改写或测试域发生迁移时，检测器容易依赖表面线索并产生高置信错误[1-7,19,20]。与此同时，动态事件中的事实状态和可用证据随时间变化，静态基准既可能发生训练语料污染，也难以衡量模型在信息不完整阶段的认识论谨慎性[8-10]。</w:t>
      </w:r>
    </w:p>
    <w:p>
      <w:pPr>
        <w:keepNext w:val="0"/>
        <w:spacing w:before="0" w:after="60" w:lineRule="auto" w:line="293"/>
        <w:ind w:firstLine="420"/>
        <w:jc w:val="both"/>
      </w:pPr>
      <w:r>
        <w:rPr>
          <w:rFonts w:ascii="Times New Roman" w:hAnsi="Times New Roman" w:eastAsia="宋体"/>
          <w:b w:val="0"/>
          <w:i w:val="0"/>
          <w:color w:val="000000"/>
          <w:sz w:val="21"/>
        </w:rPr>
        <w:t>多智能体事实核验通过任务分解引入语言操纵、来源可信度、时间推理、数值一致性和跨来源矛盾等专家视角，但固定专家和固定提示词只能复用设计者预先想到的策略。当领域从娱乐迁移到健康、金融或公共事件，或者攻击者改变生成与改写方式时，旧技能可能失效，甚至对原本表现良好的领域造成负迁移。已有自反思、工作流记忆和技能库方法证明，不更新底层模型参数也可以从执行经验中积累可复用行为[11-16]；然而，这些方法大多面向网页操作、代码生成或具备明确环境反馈的任务，缺少对事实核验场景中证据真实性、时间泄漏、弃权口径和保护域退化的系统约束。</w:t>
      </w:r>
    </w:p>
    <w:p>
      <w:pPr>
        <w:keepNext w:val="0"/>
        <w:spacing w:before="0" w:after="60" w:lineRule="auto" w:line="293"/>
        <w:ind w:firstLine="420"/>
        <w:jc w:val="both"/>
      </w:pPr>
      <w:r>
        <w:rPr>
          <w:rFonts w:ascii="Times New Roman" w:hAnsi="Times New Roman" w:eastAsia="宋体"/>
          <w:b w:val="0"/>
          <w:i w:val="0"/>
          <w:color w:val="000000"/>
          <w:sz w:val="21"/>
        </w:rPr>
        <w:t>本文研究的问题是：在底层语言模型冻结的前提下，如何使事实核验技能的更新目标从拟合已见领域转变为提升未知领域泛化，同时保证所谓的自我提升不是由测试泄漏、随机波动、选择性弃权或局部域过拟合造成。为此，本文提出EvoFactSkill，将技能视为带适用范围、触发条件、成本、版本和历史效用的可治理软件工件，并在离散技能空间中执行域级双层元优化。</w:t>
      </w:r>
    </w:p>
    <w:p>
      <w:pPr>
        <w:keepNext w:val="0"/>
        <w:spacing w:before="0" w:after="60" w:lineRule="auto" w:line="293"/>
        <w:jc w:val="both"/>
      </w:pPr>
      <w:r>
        <w:rPr>
          <w:rFonts w:ascii="Times New Roman" w:hAnsi="Times New Roman" w:eastAsia="宋体"/>
          <w:b w:val="0"/>
          <w:i w:val="0"/>
          <w:color w:val="000000"/>
          <w:sz w:val="21"/>
        </w:rPr>
        <w:t>本文的核心创新凝练为一点：提出域情景元门控技能进化方法DEMSE。该方法在元训练域上通过前向推理、错误归因和经验蒸馏产生候选SkillBank，在独立元测试域上模拟未知域并计算迁移效用，再以跨情景统计门控决定技能的晋升、泛化、特化或淘汰。错误归因、八类生命周期操作、负迁移控制和Pareto版本管理均服务于这一统一的内外层进化机制。围绕该方法，本文进一步实现最终测试隔离、内容寻址快照、脚本安全检查和可复现实验协议。</w:t>
      </w:r>
    </w:p>
    <w:p>
      <w:pPr>
        <w:pStyle w:val="Heading1"/>
        <w:keepNext/>
        <w:spacing w:before="160" w:after="80"/>
        <w:ind w:firstLine="0"/>
      </w:pPr>
      <w:r>
        <w:rPr>
          <w:rFonts w:ascii="Times New Roman" w:hAnsi="Times New Roman" w:eastAsia="黑体"/>
          <w:b/>
          <w:i w:val="0"/>
          <w:color w:val="000000"/>
          <w:sz w:val="28"/>
        </w:rPr>
        <w:t>2 相关工作</w:t>
      </w:r>
    </w:p>
    <w:p>
      <w:pPr>
        <w:pStyle w:val="Heading2"/>
        <w:keepNext/>
        <w:spacing w:before="100" w:after="80"/>
        <w:ind w:firstLine="0"/>
      </w:pPr>
      <w:r>
        <w:rPr>
          <w:rFonts w:ascii="Times New Roman" w:hAnsi="Times New Roman" w:eastAsia="黑体"/>
          <w:b/>
          <w:i w:val="0"/>
          <w:color w:val="000000"/>
          <w:sz w:val="21"/>
        </w:rPr>
        <w:t>2.1 假新闻检测与基于证据的事实核验</w:t>
      </w:r>
    </w:p>
    <w:p>
      <w:pPr>
        <w:keepNext w:val="0"/>
        <w:spacing w:before="0" w:after="60" w:lineRule="auto" w:line="293"/>
        <w:ind w:firstLine="420"/>
        <w:jc w:val="both"/>
      </w:pPr>
      <w:r>
        <w:rPr>
          <w:rFonts w:ascii="Times New Roman" w:hAnsi="Times New Roman" w:eastAsia="宋体"/>
          <w:b w:val="0"/>
          <w:i w:val="0"/>
          <w:color w:val="000000"/>
          <w:sz w:val="21"/>
        </w:rPr>
        <w:t>传统假新闻检测主要利用词汇、情感、用户关系与传播模式。FakeNewsNet等资源进一步联合新闻内容、社会上下文与时序信息[2]。面向多领域的MDFEND通过领域门控的专家混合建模不同领域的共性与特性，并发布带九类领域标签的Weibo21[3]。这类方法在固定数据分布上有效，但领域标签本身可能成为捷径，且难以处理刚发生事件中的证据空缺。</w:t>
      </w:r>
    </w:p>
    <w:p>
      <w:pPr>
        <w:keepNext w:val="0"/>
        <w:spacing w:before="0" w:after="60" w:lineRule="auto" w:line="293"/>
        <w:ind w:firstLine="420"/>
        <w:jc w:val="both"/>
      </w:pPr>
      <w:r>
        <w:rPr>
          <w:rFonts w:ascii="Times New Roman" w:hAnsi="Times New Roman" w:eastAsia="宋体"/>
          <w:b w:val="0"/>
          <w:i w:val="0"/>
          <w:color w:val="000000"/>
          <w:sz w:val="21"/>
        </w:rPr>
        <w:t>基于证据的方法将新闻或声明与检索到的外部材料进行支持、反驳或信息不足判断。Ma等利用大语言模型抽取主题与真实实体并构建异构图，说明高层实体和主题语义比直接采用大模型文本向量更有效[4]。DELL通过反应生成、代理任务解释和专家融合使用大语言模型[5]；TELLER强调可解释、可泛化与可控的核验流程[6]；SEE则讨论无人工证据标注条件下的检索、检查和提前终止[7]。这些工作强化了事实核验链路，但模型能力通常在训练或推理设计完成后保持静态。</w:t>
      </w:r>
    </w:p>
    <w:p>
      <w:pPr>
        <w:pStyle w:val="Heading2"/>
        <w:keepNext/>
        <w:spacing w:before="100" w:after="80"/>
        <w:ind w:firstLine="0"/>
      </w:pPr>
      <w:r>
        <w:rPr>
          <w:rFonts w:ascii="Times New Roman" w:hAnsi="Times New Roman" w:eastAsia="黑体"/>
          <w:b/>
          <w:i w:val="0"/>
          <w:color w:val="000000"/>
          <w:sz w:val="21"/>
        </w:rPr>
        <w:t>2.2 时间漂移 对抗生成与评测可靠性</w:t>
      </w:r>
    </w:p>
    <w:p>
      <w:pPr>
        <w:keepNext w:val="0"/>
        <w:spacing w:before="0" w:after="60" w:lineRule="auto" w:line="293"/>
        <w:ind w:firstLine="420"/>
        <w:jc w:val="both"/>
      </w:pPr>
      <w:r>
        <w:rPr>
          <w:rFonts w:ascii="Times New Roman" w:hAnsi="Times New Roman" w:eastAsia="宋体"/>
          <w:b w:val="0"/>
          <w:i w:val="0"/>
          <w:color w:val="000000"/>
          <w:sz w:val="21"/>
        </w:rPr>
        <w:t>新闻真实性与可验证性具有明显时间依赖。时间感知证据排序和隐式时间推理研究表明，忽略声明与证据的时间关系会降低事实核验可靠性[8,9]。LiveFact进一步按事件发生前3日、当日和后3日组织动态证据，并区分最终分类与当时可推断状态[10]。AdvFake通过对抗反馈迭代生成更具欺骗性的假新闻，为攻击适应性评测提供了数据来源[17]。这些基准共同要求模型不仅输出真假标签，还要显式处理证据截止时间、信息不足与分布变化。</w:t>
      </w:r>
    </w:p>
    <w:p>
      <w:pPr>
        <w:keepNext w:val="0"/>
        <w:spacing w:before="0" w:after="60" w:lineRule="auto" w:line="293"/>
        <w:ind w:firstLine="420"/>
        <w:jc w:val="both"/>
      </w:pPr>
      <w:r>
        <w:rPr>
          <w:rFonts w:ascii="Times New Roman" w:hAnsi="Times New Roman" w:eastAsia="宋体"/>
          <w:b w:val="0"/>
          <w:i w:val="0"/>
          <w:color w:val="000000"/>
          <w:sz w:val="21"/>
        </w:rPr>
        <w:t>评测本身也可能放大虚假进步。数据质量研究指出，重复样本、含混标签、来源偏差与不合理的分类口径会产生不可泛化结论[18]。在允许弃权的系统中，如果仅在已回答样本上计算准确率，则1个正确预测与49个弃权也会被报告为100%准确率。因此，本文将弃权视为全样本主指标中的未正确分类，同时单独报告覆盖率和选择性风险，并要求最终测试集不参与候选生成和版本选择。</w:t>
      </w:r>
    </w:p>
    <w:p>
      <w:pPr>
        <w:pStyle w:val="Heading2"/>
        <w:keepNext/>
        <w:spacing w:before="100" w:after="80"/>
        <w:ind w:firstLine="0"/>
      </w:pPr>
      <w:r>
        <w:rPr>
          <w:rFonts w:ascii="Times New Roman" w:hAnsi="Times New Roman" w:eastAsia="黑体"/>
          <w:b/>
          <w:i w:val="0"/>
          <w:color w:val="000000"/>
          <w:sz w:val="21"/>
        </w:rPr>
        <w:t>2.3 智能体反思 工作流记忆与技能自进化</w:t>
      </w:r>
    </w:p>
    <w:p>
      <w:pPr>
        <w:keepNext w:val="0"/>
        <w:spacing w:before="0" w:after="60" w:lineRule="auto" w:line="293"/>
        <w:ind w:firstLine="420"/>
        <w:jc w:val="both"/>
      </w:pPr>
      <w:r>
        <w:rPr>
          <w:rFonts w:ascii="Times New Roman" w:hAnsi="Times New Roman" w:eastAsia="宋体"/>
          <w:b w:val="0"/>
          <w:i w:val="0"/>
          <w:color w:val="000000"/>
          <w:sz w:val="21"/>
        </w:rPr>
        <w:t>Reflexion将环境反馈转化为语言反思并写入情景记忆[11]，Self-Refine利用同一模型反复生成反馈和修订输出[12]。Voyager维护可检索、可组合的代码技能库，展示了非参数式终身学习能力[13]；Agent Workflow Memory从历史轨迹归纳可复用工作流[14]。进一步地，SkillRL提出层次化SkillBank、适应性检索和递归进化[15]，EvoSkills利用共同进化的代理验证器评价复杂多文件技能包[16]。EvoFactSkill借鉴经验蒸馏和技能库思想，但不进行底层模型参数级强化学习，其研究重点是高风险事实核验中的证据约束、统计验证、负迁移和可审计治理。</w:t>
      </w:r>
    </w:p>
    <w:p>
      <w:pPr>
        <w:pStyle w:val="Heading2"/>
        <w:keepNext/>
        <w:spacing w:before="100" w:after="80"/>
        <w:ind w:firstLine="0"/>
      </w:pPr>
      <w:r>
        <w:rPr>
          <w:rFonts w:ascii="Times New Roman" w:hAnsi="Times New Roman" w:eastAsia="黑体"/>
          <w:b/>
          <w:i w:val="0"/>
          <w:color w:val="000000"/>
          <w:sz w:val="21"/>
        </w:rPr>
        <w:t>2.4 跨域假新闻检测中的元学习</w:t>
      </w:r>
    </w:p>
    <w:p>
      <w:pPr>
        <w:keepNext w:val="0"/>
        <w:spacing w:before="0" w:after="60" w:lineRule="auto" w:line="293"/>
        <w:ind w:firstLine="420"/>
        <w:jc w:val="both"/>
      </w:pPr>
      <w:r>
        <w:rPr>
          <w:rFonts w:ascii="Times New Roman" w:hAnsi="Times New Roman" w:eastAsia="宋体"/>
          <w:b w:val="0"/>
          <w:i w:val="0"/>
          <w:color w:val="000000"/>
          <w:sz w:val="21"/>
        </w:rPr>
        <w:t>MetaAdapt利用少量目标域样本对源任务的元梯度进行重加权，以学习面向目标域的快速适应能力[26]；DITFEND从元学习角度训练通用检测模型，并结合目标域实例的可迁移性缓解领域间此消彼长问题[27]；GCML进一步使用梯度一致性衡量源任务的泛化价值，并利用元测试梯度更新模型参数[28]。这些方法的学习对象主要是神经网络参数或梯度权重。与之不同，DEMSE冻结底层语言模型，不访问最终目标域样本，在离散且可解释的SkillBank空间内实施元学习：元训练域负责产生技能，元测试域负责评价技能能否跨域迁移并控制生命周期更新。</w:t>
      </w:r>
    </w:p>
    <w:p>
      <w:pPr>
        <w:spacing w:before="60" w:after="100"/>
        <w:jc w:val="center"/>
      </w:pPr>
      <w:r>
        <w:rPr>
          <w:rFonts w:ascii="Times New Roman" w:hAnsi="Times New Roman" w:eastAsia="宋体"/>
          <w:b/>
          <w:i w:val="0"/>
          <w:color w:val="000000"/>
          <w:sz w:val="18"/>
        </w:rPr>
        <w:t>表1  相关自改进范式与EvoFactSkill的差异</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82"/>
        <w:gridCol w:w="1882"/>
        <w:gridCol w:w="1882"/>
        <w:gridCol w:w="1882"/>
        <w:gridCol w:w="1882"/>
      </w:tblGrid>
      <w:tr>
        <w:trPr>
          <w:tblHeader w:val="true"/>
        </w:trPr>
        <w:tc>
          <w:tcPr>
            <w:tcW w:type="dxa" w:w="119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范式</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被更新对象</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反馈来源</w:t>
            </w:r>
          </w:p>
        </w:tc>
        <w:tc>
          <w:tcPr>
            <w:tcW w:type="dxa" w:w="175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主要风险</w:t>
            </w:r>
          </w:p>
        </w:tc>
        <w:tc>
          <w:tcPr>
            <w:tcW w:type="dxa" w:w="289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EvoFactSkill中的处理</w:t>
            </w:r>
          </w:p>
        </w:tc>
      </w:tr>
      <w:tr>
        <w:tc>
          <w:tcPr>
            <w:tcW w:type="dxa" w:w="11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Self-Refine</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当前输出</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模型自反馈</w:t>
            </w:r>
          </w:p>
        </w:tc>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错误反馈自洽</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候选必须通过固定验证集</w:t>
            </w:r>
          </w:p>
        </w:tc>
      </w:tr>
      <w:tr>
        <w:tc>
          <w:tcPr>
            <w:tcW w:type="dxa" w:w="11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Reflexion</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情景记忆</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任务反馈</w:t>
            </w:r>
          </w:p>
        </w:tc>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原始轨迹冗余</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蒸馏为去标签紧凑技能</w:t>
            </w:r>
          </w:p>
        </w:tc>
      </w:tr>
      <w:tr>
        <w:tc>
          <w:tcPr>
            <w:tcW w:type="dxa" w:w="11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Voyager/AWM</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代码技能或工作流</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环境执行</w:t>
            </w:r>
          </w:p>
        </w:tc>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领域约束较弱</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加入证据时间与数据隔离</w:t>
            </w:r>
          </w:p>
        </w:tc>
      </w:tr>
      <w:tr>
        <w:tc>
          <w:tcPr>
            <w:tcW w:type="dxa" w:w="11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SkillRL</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SkillBank与策略</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强化学习奖励</w:t>
            </w:r>
          </w:p>
        </w:tc>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参数与技能贡献耦合</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冻结底座模型并记录版本贡献</w:t>
            </w:r>
          </w:p>
        </w:tc>
      </w:tr>
      <w:tr>
        <w:tc>
          <w:tcPr>
            <w:tcW w:type="dxa" w:w="11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EvoSkills</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多文件技能包</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代理验证器</w:t>
            </w:r>
          </w:p>
        </w:tc>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验证器共同偏差</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使用真实标签验证与保护域回归</w:t>
            </w:r>
          </w:p>
        </w:tc>
      </w:tr>
      <w:tr>
        <w:tc>
          <w:tcPr>
            <w:tcW w:type="dxa" w:w="11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本文DEMSE</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离散可解释SkillBank</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元测试域迁移效用</w:t>
            </w:r>
          </w:p>
        </w:tc>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域过拟合与负迁移</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域内层生成与域外层门控</w:t>
            </w:r>
          </w:p>
        </w:tc>
      </w:tr>
    </w:tbl>
    <w:p>
      <w:pPr>
        <w:spacing w:after="0"/>
      </w:pPr>
    </w:p>
    <w:p>
      <w:pPr>
        <w:pStyle w:val="Heading1"/>
        <w:keepNext/>
        <w:spacing w:before="160" w:after="80"/>
        <w:ind w:firstLine="0"/>
      </w:pPr>
      <w:r>
        <w:rPr>
          <w:rFonts w:ascii="Times New Roman" w:hAnsi="Times New Roman" w:eastAsia="黑体"/>
          <w:b/>
          <w:i w:val="0"/>
          <w:color w:val="000000"/>
          <w:sz w:val="28"/>
        </w:rPr>
        <w:t>3 问题定义与设计原则</w:t>
      </w:r>
    </w:p>
    <w:p>
      <w:pPr>
        <w:keepNext w:val="0"/>
        <w:spacing w:before="0" w:after="60" w:lineRule="auto" w:line="293"/>
        <w:ind w:firstLine="420"/>
        <w:jc w:val="both"/>
      </w:pPr>
      <w:r>
        <w:rPr>
          <w:rFonts w:ascii="Times New Roman" w:hAnsi="Times New Roman" w:eastAsia="宋体"/>
          <w:b w:val="0"/>
          <w:i w:val="0"/>
          <w:color w:val="000000"/>
          <w:sz w:val="21"/>
        </w:rPr>
        <w:t>设新闻样本由文本声明、可选外部证据、领域、事件标识和发布时间组成，底层语言模型在一次完整实验期间保持冻结。系统维护技能集合，每个技能包含指令、资源、适用范围、触发条件、版本、成本和历史效用。对给定样本，路由器在预算约束下选择少量技能，专家产生结构化报告，证据聚合器去重并按时间排序，判决器输出REAL、FAKE或ABSTAIN及置信度。系统的学习对象不是模型参数，而是技能集合、技能内容、路由偏好和工作流结构。</w:t>
      </w:r>
    </w:p>
    <w:p>
      <w:pPr>
        <w:keepNext w:val="0"/>
        <w:spacing w:before="0" w:after="60" w:lineRule="auto" w:line="293"/>
        <w:ind w:firstLine="420"/>
        <w:jc w:val="both"/>
      </w:pPr>
      <w:r>
        <w:rPr>
          <w:rFonts w:ascii="Times New Roman" w:hAnsi="Times New Roman" w:eastAsia="宋体"/>
          <w:b w:val="0"/>
          <w:i w:val="0"/>
          <w:color w:val="000000"/>
          <w:sz w:val="21"/>
        </w:rPr>
        <w:t>设可用于学习的源领域集合与最终未知测试领域集合互斥。DEMSE在每个元情景中从源领域集合抽取若干完整领域构成元训练域，其余完整领域构成元测试域。元训练域允许使用预测后的标签进行错误分析和候选生成；元测试域标签只用于比较当前SkillBank与候选SkillBank的迁移效用，不进入提示词、轨迹公开视图或候选内容。最终测试域既不参与候选生成，也不作为元测试域出现。</w:t>
      </w:r>
    </w:p>
    <w:p>
      <w:pPr>
        <w:keepNext w:val="0"/>
        <w:spacing w:before="0" w:after="60" w:lineRule="auto" w:line="293"/>
        <w:ind w:firstLine="420"/>
        <w:jc w:val="both"/>
      </w:pPr>
      <w:r>
        <w:rPr>
          <w:rFonts w:ascii="Times New Roman" w:hAnsi="Times New Roman" w:eastAsia="宋体"/>
          <w:b w:val="0"/>
          <w:i w:val="0"/>
          <w:color w:val="000000"/>
          <w:sz w:val="21"/>
        </w:rPr>
        <w:t>这里的元学习不是对底层语言模型执行MAML式梯度更新，而是在离散技能空间中进行双层优化。内层学习算子根据元训练域经验产生技能内容、适用范围和路由候选；外层元门控根据候选在元测试域上的跨域收益决定SkillBank状态转移。跨多个域级情景反复执行后，只有在不同伪未知域上稳定有效的技能才能进入活动版本。</w:t>
      </w:r>
    </w:p>
    <w:p>
      <w:pPr>
        <w:keepNext w:val="0"/>
        <w:spacing w:before="0" w:after="60" w:lineRule="auto" w:line="293"/>
        <w:ind w:firstLine="420"/>
        <w:jc w:val="both"/>
      </w:pPr>
      <w:r>
        <w:rPr>
          <w:rFonts w:ascii="Times New Roman" w:hAnsi="Times New Roman" w:eastAsia="宋体"/>
          <w:b w:val="0"/>
          <w:i w:val="0"/>
          <w:color w:val="000000"/>
          <w:sz w:val="21"/>
        </w:rPr>
        <w:t>该过程遵循四项原则。第一，域级性：必须以完整领域而非混合样本划分元训练和元测试。第二，隔离性：最终测试域永不参与内外层更新。第三，稳健性：候选需在多个轮换情景中接受配对重复比较，并受最差域退化约束。第四，可恢复性：每次技能状态转移均保存父版本、内容哈希、域情景、迁移效用和回滚路径。</w:t>
      </w:r>
    </w:p>
    <w:p>
      <w:pPr>
        <w:pStyle w:val="Heading1"/>
        <w:keepNext/>
        <w:spacing w:before="160" w:after="80"/>
        <w:ind w:firstLine="0"/>
      </w:pPr>
      <w:r>
        <w:rPr>
          <w:rFonts w:ascii="Times New Roman" w:hAnsi="Times New Roman" w:eastAsia="黑体"/>
          <w:b/>
          <w:i w:val="0"/>
          <w:color w:val="000000"/>
          <w:sz w:val="28"/>
        </w:rPr>
        <w:t>4 EvoFactSkill框架</w:t>
      </w:r>
    </w:p>
    <w:p>
      <w:pPr>
        <w:keepNext/>
        <w:jc w:val="center"/>
      </w:pPr>
      <w:r>
        <w:drawing>
          <wp:inline xmlns:a="http://schemas.openxmlformats.org/drawingml/2006/main" xmlns:pic="http://schemas.openxmlformats.org/drawingml/2006/picture">
            <wp:extent cx="5760000" cy="3136000"/>
            <wp:docPr id="1" name="Picture 1" descr="EvoFactSkill域情景元门控体系结构，包括数据隔离、推理运行、轨迹归因、技能内层进化、域外层验证和版本化SkillBank" title="EvoFactSkill域情景元门控体系结构"/>
            <wp:cNvGraphicFramePr>
              <a:graphicFrameLocks noChangeAspect="1"/>
            </wp:cNvGraphicFramePr>
            <a:graphic>
              <a:graphicData uri="http://schemas.openxmlformats.org/drawingml/2006/picture">
                <pic:pic>
                  <pic:nvPicPr>
                    <pic:cNvPr id="0" name="evofact_architecture.png"/>
                    <pic:cNvPicPr/>
                  </pic:nvPicPr>
                  <pic:blipFill>
                    <a:blip r:embed="rId11"/>
                    <a:stretch>
                      <a:fillRect/>
                    </a:stretch>
                  </pic:blipFill>
                  <pic:spPr>
                    <a:xfrm>
                      <a:off x="0" y="0"/>
                      <a:ext cx="5760000" cy="3136000"/>
                    </a:xfrm>
                    <a:prstGeom prst="rect"/>
                  </pic:spPr>
                </pic:pic>
              </a:graphicData>
            </a:graphic>
          </wp:inline>
        </w:drawing>
      </w:r>
    </w:p>
    <w:p>
      <w:pPr>
        <w:spacing w:before="60" w:after="100"/>
        <w:jc w:val="center"/>
      </w:pPr>
      <w:r>
        <w:rPr>
          <w:rFonts w:ascii="Times New Roman" w:hAnsi="Times New Roman" w:eastAsia="宋体"/>
          <w:b/>
          <w:i w:val="0"/>
          <w:color w:val="000000"/>
          <w:sz w:val="18"/>
        </w:rPr>
        <w:t>图1  EvoFactSkill域情景元门控体系结构</w:t>
      </w:r>
    </w:p>
    <w:p>
      <w:pPr>
        <w:keepNext w:val="0"/>
        <w:spacing w:before="0" w:after="60" w:lineRule="auto" w:line="293"/>
        <w:ind w:firstLine="420"/>
        <w:jc w:val="both"/>
      </w:pPr>
      <w:r>
        <w:rPr>
          <w:rFonts w:ascii="Times New Roman" w:hAnsi="Times New Roman" w:eastAsia="宋体"/>
          <w:b w:val="0"/>
          <w:i w:val="0"/>
          <w:color w:val="000000"/>
          <w:sz w:val="21"/>
        </w:rPr>
        <w:t>如图1所示，EvoFactSkill采用六层单向依赖架构，而DEMSE贯穿其中。数据层产生域级元情景；推理层在元训练域上形成去标签结构化轨迹；归因与进化层执行内层候选SkillBank更新；验证治理层在元测试域上实施外层迁移门控；版本化SkillBank保存跨情景聚合后的活动、候选、Pareto、冻结和淘汰状态。最终测试入口不初始化进化组件，也不向外层门控返回反馈。</w:t>
      </w:r>
    </w:p>
    <w:p>
      <w:pPr>
        <w:pStyle w:val="Heading2"/>
        <w:keepNext/>
        <w:spacing w:before="100" w:after="80"/>
        <w:ind w:firstLine="0"/>
      </w:pPr>
      <w:r>
        <w:rPr>
          <w:rFonts w:ascii="Times New Roman" w:hAnsi="Times New Roman" w:eastAsia="黑体"/>
          <w:b/>
          <w:i w:val="0"/>
          <w:color w:val="000000"/>
          <w:sz w:val="21"/>
        </w:rPr>
        <w:t>4.1 数据注册与严格隔离</w:t>
      </w:r>
    </w:p>
    <w:p>
      <w:pPr>
        <w:keepNext w:val="0"/>
        <w:spacing w:before="0" w:after="60" w:lineRule="auto" w:line="293"/>
        <w:ind w:firstLine="420"/>
        <w:jc w:val="both"/>
      </w:pPr>
      <w:r>
        <w:rPr>
          <w:rFonts w:ascii="Times New Roman" w:hAnsi="Times New Roman" w:eastAsia="宋体"/>
          <w:b w:val="0"/>
          <w:i w:val="0"/>
          <w:color w:val="000000"/>
          <w:sz w:val="21"/>
        </w:rPr>
        <w:t>DataRegistry为Weibo21、AMTCele、LiveFact和AdvFake提供统一适配接口。数据清单记录稳定样本指纹、训练标识、进化验证标识、保护验证标识、测试标识和切分策略。切分以事件为原子单位，避免同一事件的不同转述跨集合出现；标准化内容哈希用于发现近似重复的直接拷贝；证据时间不得晚于该样本允许的截止时间。</w:t>
      </w:r>
    </w:p>
    <w:p>
      <w:pPr>
        <w:spacing w:before="60" w:after="100"/>
        <w:jc w:val="center"/>
      </w:pPr>
      <w:r>
        <w:rPr>
          <w:rFonts w:ascii="Times New Roman" w:hAnsi="Times New Roman" w:eastAsia="宋体"/>
          <w:b/>
          <w:i w:val="0"/>
          <w:color w:val="000000"/>
          <w:sz w:val="18"/>
        </w:rPr>
        <w:t>表2  数据集在实验中的预定角色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36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数据集</w:t>
            </w:r>
          </w:p>
        </w:tc>
        <w:tc>
          <w:tcPr>
            <w:tcW w:type="dxa" w:w="243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主要属性</w:t>
            </w:r>
          </w:p>
        </w:tc>
        <w:tc>
          <w:tcPr>
            <w:tcW w:type="dxa" w:w="243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系统角色</w:t>
            </w:r>
          </w:p>
        </w:tc>
        <w:tc>
          <w:tcPr>
            <w:tcW w:type="dxa" w:w="300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隔离约束</w:t>
            </w:r>
          </w:p>
        </w:tc>
      </w:tr>
      <w:tr>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Weibo21</w:t>
            </w:r>
          </w:p>
        </w:tc>
        <w:tc>
          <w:tcPr>
            <w:tcW w:type="dxa" w:w="243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中文 九领域 文本及可选图像</w:t>
            </w:r>
          </w:p>
        </w:tc>
        <w:tc>
          <w:tcPr>
            <w:tcW w:type="dxa" w:w="243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跨领域主实验 当前仅使用文本</w:t>
            </w:r>
          </w:p>
        </w:tc>
        <w:tc>
          <w:tcPr>
            <w:tcW w:type="dxa" w:w="300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按事件和领域分层</w:t>
            </w:r>
          </w:p>
        </w:tc>
      </w:tr>
      <w:tr>
        <w:tc>
          <w:tcPr>
            <w:tcW w:type="dxa" w:w="136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AMTCele</w:t>
            </w:r>
          </w:p>
        </w:tc>
        <w:tc>
          <w:tcPr>
            <w:tcW w:type="dxa" w:w="243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英语 名人新闻 人工改写</w:t>
            </w:r>
          </w:p>
        </w:tc>
        <w:tc>
          <w:tcPr>
            <w:tcW w:type="dxa" w:w="243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跨语言与风格迁移</w:t>
            </w:r>
          </w:p>
        </w:tc>
        <w:tc>
          <w:tcPr>
            <w:tcW w:type="dxa" w:w="300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原始与改写关联不得跨集合</w:t>
            </w:r>
          </w:p>
        </w:tc>
      </w:tr>
      <w:tr>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LiveFact</w:t>
            </w:r>
          </w:p>
        </w:tc>
        <w:tc>
          <w:tcPr>
            <w:tcW w:type="dxa" w:w="243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动态事件 三个时间窗</w:t>
            </w:r>
          </w:p>
        </w:tc>
        <w:tc>
          <w:tcPr>
            <w:tcW w:type="dxa" w:w="243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时间漂移与证据不足</w:t>
            </w:r>
          </w:p>
        </w:tc>
        <w:tc>
          <w:tcPr>
            <w:tcW w:type="dxa" w:w="300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前3日 当日 后3日严格隔离</w:t>
            </w:r>
          </w:p>
        </w:tc>
      </w:tr>
      <w:tr>
        <w:tc>
          <w:tcPr>
            <w:tcW w:type="dxa" w:w="136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AdvFake</w:t>
            </w:r>
          </w:p>
        </w:tc>
        <w:tc>
          <w:tcPr>
            <w:tcW w:type="dxa" w:w="243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对抗反馈生成真假对</w:t>
            </w:r>
          </w:p>
        </w:tc>
        <w:tc>
          <w:tcPr>
            <w:tcW w:type="dxa" w:w="243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对抗鲁棒性最终测试</w:t>
            </w:r>
          </w:p>
        </w:tc>
        <w:tc>
          <w:tcPr>
            <w:tcW w:type="dxa" w:w="300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仅作测试 不参与进化</w:t>
            </w:r>
          </w:p>
        </w:tc>
      </w:tr>
    </w:tbl>
    <w:p>
      <w:pPr>
        <w:spacing w:after="0"/>
      </w:pPr>
    </w:p>
    <w:p>
      <w:pPr>
        <w:pStyle w:val="Heading2"/>
        <w:keepNext/>
        <w:spacing w:before="100" w:after="80"/>
        <w:ind w:firstLine="0"/>
      </w:pPr>
      <w:r>
        <w:rPr>
          <w:rFonts w:ascii="Times New Roman" w:hAnsi="Times New Roman" w:eastAsia="黑体"/>
          <w:b/>
          <w:i w:val="0"/>
          <w:color w:val="000000"/>
          <w:sz w:val="21"/>
        </w:rPr>
        <w:t>4.2 结构化推理链路</w:t>
      </w:r>
    </w:p>
    <w:p>
      <w:pPr>
        <w:keepNext w:val="0"/>
        <w:spacing w:before="0" w:after="60" w:lineRule="auto" w:line="293"/>
        <w:ind w:firstLine="420"/>
        <w:jc w:val="both"/>
      </w:pPr>
      <w:r>
        <w:rPr>
          <w:rFonts w:ascii="Times New Roman" w:hAnsi="Times New Roman" w:eastAsia="宋体"/>
          <w:b w:val="0"/>
          <w:i w:val="0"/>
          <w:color w:val="000000"/>
          <w:sz w:val="21"/>
        </w:rPr>
        <w:t>推理链路由Coordinator、Skill Router、Specialists、Evidence Aggregator和Judge组成。Coordinator读取样本公开视图并确定核验需求；路由器根据领域、时间、触发条件、历史边际效用和预算选择技能；专家输出立场、置信度、证据与理由；聚合器按证据指纹去重并采用确定性次序；Judge综合报告输出标签或弃权。每次运行均生成不可变InferenceTrace，其中包含样本公开视图、路由理由、技能版本、专家报告、聚合证据、最终决策、用量和错误信息。</w:t>
      </w:r>
    </w:p>
    <w:p>
      <w:pPr>
        <w:keepNext w:val="0"/>
        <w:spacing w:before="0" w:after="60" w:lineRule="auto" w:line="293"/>
        <w:ind w:firstLine="420"/>
        <w:jc w:val="both"/>
      </w:pPr>
      <w:r>
        <w:rPr>
          <w:rFonts w:ascii="Times New Roman" w:hAnsi="Times New Roman" w:eastAsia="宋体"/>
          <w:b w:val="0"/>
          <w:i w:val="0"/>
          <w:color w:val="000000"/>
          <w:sz w:val="21"/>
        </w:rPr>
        <w:t>当前原型配置9个种子技能：协调与路由、声明分解、证据评估、时间推理、来源可信度、语言操纵、数值一致性、跨来源矛盾和最终判决。路由失败或候选为空时使用确定性安全兜底，已淘汰技能不会被检索。系统目前是以文本新闻、文本证据和结构化元数据为输入的单模态框架；图像、视频和音频端到端推理不属于当前实现。</w:t>
      </w:r>
    </w:p>
    <w:p>
      <w:pPr>
        <w:pStyle w:val="Heading2"/>
        <w:keepNext/>
        <w:spacing w:before="100" w:after="80"/>
        <w:ind w:firstLine="0"/>
      </w:pPr>
      <w:r>
        <w:rPr>
          <w:rFonts w:ascii="Times New Roman" w:hAnsi="Times New Roman" w:eastAsia="黑体"/>
          <w:b/>
          <w:i w:val="0"/>
          <w:color w:val="000000"/>
          <w:sz w:val="21"/>
        </w:rPr>
        <w:t>4.3 错误归因与经验蒸馏</w:t>
      </w:r>
    </w:p>
    <w:p>
      <w:pPr>
        <w:keepNext w:val="0"/>
        <w:spacing w:before="0" w:after="60" w:lineRule="auto" w:line="293"/>
        <w:ind w:firstLine="420"/>
        <w:jc w:val="both"/>
      </w:pPr>
      <w:r>
        <w:rPr>
          <w:rFonts w:ascii="Times New Roman" w:hAnsi="Times New Roman" w:eastAsia="宋体"/>
          <w:b w:val="0"/>
          <w:i w:val="0"/>
          <w:color w:val="000000"/>
          <w:sz w:val="21"/>
        </w:rPr>
        <w:t>系统首先用确定性规则识别八类错误：路由遗漏表示所需技能未被选择；证据遗漏表示存在可用证据但专家未引用；证据幻觉表示报告使用输入中不存在的材料；时间泄漏表示使用了截止时间后的证据；推理错误表示证据方向与结论不一致；判决聚合错误表示多数可靠专家与最终标签冲突；标签映射错误表示内部标签与数据集语义映射错误；不当弃权表示证据充分但系统拒绝判断。必要时，可通过逐一移除技能并重放样本估计边际贡献。</w:t>
      </w:r>
    </w:p>
    <w:p>
      <w:pPr>
        <w:keepNext w:val="0"/>
        <w:spacing w:before="0" w:after="60" w:lineRule="auto" w:line="293"/>
        <w:ind w:firstLine="420"/>
        <w:jc w:val="both"/>
      </w:pPr>
      <w:r>
        <w:rPr>
          <w:rFonts w:ascii="Times New Roman" w:hAnsi="Times New Roman" w:eastAsia="宋体"/>
          <w:b w:val="0"/>
          <w:i w:val="0"/>
          <w:color w:val="000000"/>
          <w:sz w:val="21"/>
        </w:rPr>
        <w:t>ExperienceDistiller不保存冗长原始轨迹，而将同类错误聚合为稳定错误簇，仅保留可复用条件、失败机制、推荐步骤与风险提示。蒸馏输出递归删除label、gold、answer等敏感字段，候选提案只引用轨迹标识和错误簇标识。这样既减少上下文成本，也降低标签被写入技能指令的风险。</w:t>
      </w:r>
    </w:p>
    <w:p>
      <w:pPr>
        <w:pStyle w:val="Heading2"/>
        <w:keepNext/>
        <w:spacing w:before="100" w:after="80"/>
        <w:ind w:firstLine="0"/>
      </w:pPr>
      <w:r>
        <w:rPr>
          <w:rFonts w:ascii="Times New Roman" w:hAnsi="Times New Roman" w:eastAsia="黑体"/>
          <w:b/>
          <w:i w:val="0"/>
          <w:color w:val="000000"/>
          <w:sz w:val="21"/>
        </w:rPr>
        <w:t>4.4 技能生命周期与版本库</w:t>
      </w:r>
    </w:p>
    <w:p>
      <w:pPr>
        <w:spacing w:before="60" w:after="100"/>
        <w:jc w:val="center"/>
      </w:pPr>
      <w:r>
        <w:rPr>
          <w:rFonts w:ascii="Times New Roman" w:hAnsi="Times New Roman" w:eastAsia="宋体"/>
          <w:b/>
          <w:i w:val="0"/>
          <w:color w:val="000000"/>
          <w:sz w:val="18"/>
        </w:rPr>
        <w:t>表3  技能生命周期操作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24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操作</w:t>
            </w:r>
          </w:p>
        </w:tc>
        <w:tc>
          <w:tcPr>
            <w:tcW w:type="dxa" w:w="289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触发条件</w:t>
            </w:r>
          </w:p>
        </w:tc>
        <w:tc>
          <w:tcPr>
            <w:tcW w:type="dxa" w:w="238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结果</w:t>
            </w:r>
          </w:p>
        </w:tc>
        <w:tc>
          <w:tcPr>
            <w:tcW w:type="dxa" w:w="277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治理要求</w:t>
            </w:r>
          </w:p>
        </w:tc>
      </w:tr>
      <w:tr>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ADD</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出现稳定的新错误簇</w:t>
            </w:r>
          </w:p>
        </w:tc>
        <w:tc>
          <w:tcPr>
            <w:tcW w:type="dxa" w:w="238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新增候选技能</w:t>
            </w:r>
          </w:p>
        </w:tc>
        <w:tc>
          <w:tcPr>
            <w:tcW w:type="dxa" w:w="277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不得与现有技能重复</w:t>
            </w:r>
          </w:p>
        </w:tc>
      </w:tr>
      <w:tr>
        <w:tc>
          <w:tcPr>
            <w:tcW w:type="dxa" w:w="124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EDIT</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单一技能存在局部缺陷</w:t>
            </w:r>
          </w:p>
        </w:tc>
        <w:tc>
          <w:tcPr>
            <w:tcW w:type="dxa" w:w="238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产生父版本的修订版</w:t>
            </w:r>
          </w:p>
        </w:tc>
        <w:tc>
          <w:tcPr>
            <w:tcW w:type="dxa" w:w="277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保留完整差异</w:t>
            </w:r>
          </w:p>
        </w:tc>
      </w:tr>
      <w:tr>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SPLIT</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技能在不同域表现分化</w:t>
            </w:r>
          </w:p>
        </w:tc>
        <w:tc>
          <w:tcPr>
            <w:tcW w:type="dxa" w:w="238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拆为多个特化技能</w:t>
            </w:r>
          </w:p>
        </w:tc>
        <w:tc>
          <w:tcPr>
            <w:tcW w:type="dxa" w:w="277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验证路由边界</w:t>
            </w:r>
          </w:p>
        </w:tc>
      </w:tr>
      <w:tr>
        <w:tc>
          <w:tcPr>
            <w:tcW w:type="dxa" w:w="124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MERGE</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技能高度重叠或冲突</w:t>
            </w:r>
          </w:p>
        </w:tc>
        <w:tc>
          <w:tcPr>
            <w:tcW w:type="dxa" w:w="238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形成统一技能</w:t>
            </w:r>
          </w:p>
        </w:tc>
        <w:tc>
          <w:tcPr>
            <w:tcW w:type="dxa" w:w="277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检查能力丢失</w:t>
            </w:r>
          </w:p>
        </w:tc>
      </w:tr>
      <w:tr>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GENERALIZE</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跨域规律稳定</w:t>
            </w:r>
          </w:p>
        </w:tc>
        <w:tc>
          <w:tcPr>
            <w:tcW w:type="dxa" w:w="238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扩大适用范围</w:t>
            </w:r>
          </w:p>
        </w:tc>
        <w:tc>
          <w:tcPr>
            <w:tcW w:type="dxa" w:w="277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保护域回归验证</w:t>
            </w:r>
          </w:p>
        </w:tc>
      </w:tr>
      <w:tr>
        <w:tc>
          <w:tcPr>
            <w:tcW w:type="dxa" w:w="124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SPECIALIZE</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仅特定域或时间有效</w:t>
            </w:r>
          </w:p>
        </w:tc>
        <w:tc>
          <w:tcPr>
            <w:tcW w:type="dxa" w:w="238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收窄适用范围</w:t>
            </w:r>
          </w:p>
        </w:tc>
        <w:tc>
          <w:tcPr>
            <w:tcW w:type="dxa" w:w="277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避免误路由</w:t>
            </w:r>
          </w:p>
        </w:tc>
      </w:tr>
      <w:tr>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RETIRE</w:t>
            </w:r>
          </w:p>
        </w:tc>
        <w:tc>
          <w:tcPr>
            <w:tcW w:type="dxa" w:w="289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持续负边际效用</w:t>
            </w:r>
          </w:p>
        </w:tc>
        <w:tc>
          <w:tcPr>
            <w:tcW w:type="dxa" w:w="238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停用并保留历史</w:t>
            </w:r>
          </w:p>
        </w:tc>
        <w:tc>
          <w:tcPr>
            <w:tcW w:type="dxa" w:w="277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记录淘汰原因</w:t>
            </w:r>
          </w:p>
        </w:tc>
      </w:tr>
      <w:tr>
        <w:tc>
          <w:tcPr>
            <w:tcW w:type="dxa" w:w="124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ROLLBACK</w:t>
            </w:r>
          </w:p>
        </w:tc>
        <w:tc>
          <w:tcPr>
            <w:tcW w:type="dxa" w:w="289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上线后退化或安全问题</w:t>
            </w:r>
          </w:p>
        </w:tc>
        <w:tc>
          <w:tcPr>
            <w:tcW w:type="dxa" w:w="238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恢复历史快照</w:t>
            </w:r>
          </w:p>
        </w:tc>
        <w:tc>
          <w:tcPr>
            <w:tcW w:type="dxa" w:w="277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原子更新活动指针</w:t>
            </w:r>
          </w:p>
        </w:tc>
      </w:tr>
    </w:tbl>
    <w:p>
      <w:pPr>
        <w:spacing w:after="0"/>
      </w:pPr>
    </w:p>
    <w:p>
      <w:pPr>
        <w:keepNext w:val="0"/>
        <w:spacing w:before="0" w:after="60" w:lineRule="auto" w:line="293"/>
        <w:ind w:firstLine="420"/>
        <w:jc w:val="both"/>
      </w:pPr>
      <w:r>
        <w:rPr>
          <w:rFonts w:ascii="Times New Roman" w:hAnsi="Times New Roman" w:eastAsia="宋体"/>
          <w:b w:val="0"/>
          <w:i w:val="0"/>
          <w:color w:val="000000"/>
          <w:sz w:val="21"/>
        </w:rPr>
        <w:t>SkillRepository采用内容哈希快照和追加式JSONL事件日志。活动指针独立存储并通过临时文件原子替换；非法操作或候选失败不会破坏当前活动库。冻结技能仍可使用但不可自动改写，脚本型技能默认进入人工审核状态。UtilityTracker累计每个技能的使用次数、成功率、平均成本、全局及分域边际效用和负迁移次数，连续有害技能将被降权并推荐淘汰。</w:t>
      </w:r>
    </w:p>
    <w:p>
      <w:pPr>
        <w:pStyle w:val="Heading2"/>
        <w:keepNext/>
        <w:spacing w:before="100" w:after="80"/>
        <w:ind w:firstLine="0"/>
      </w:pPr>
      <w:r>
        <w:rPr>
          <w:rFonts w:ascii="Times New Roman" w:hAnsi="Times New Roman" w:eastAsia="黑体"/>
          <w:b/>
          <w:i w:val="0"/>
          <w:color w:val="000000"/>
          <w:sz w:val="21"/>
        </w:rPr>
        <w:t>4.5 域情景元门控技能进化</w:t>
      </w:r>
    </w:p>
    <w:p>
      <w:pPr>
        <w:keepNext/>
        <w:jc w:val="center"/>
      </w:pPr>
      <w:r>
        <w:drawing>
          <wp:inline xmlns:a="http://schemas.openxmlformats.org/drawingml/2006/main" xmlns:pic="http://schemas.openxmlformats.org/drawingml/2006/picture">
            <wp:extent cx="5760000" cy="3104000"/>
            <wp:docPr id="2" name="Picture 2" descr="DEMSE在元训练域上生成候选SkillBank，并在轮换的元测试域上计算迁移效用和控制技能生命周期更新" title="DEMSE域情景元门控技能进化"/>
            <wp:cNvGraphicFramePr>
              <a:graphicFrameLocks noChangeAspect="1"/>
            </wp:cNvGraphicFramePr>
            <a:graphic>
              <a:graphicData uri="http://schemas.openxmlformats.org/drawingml/2006/picture">
                <pic:pic>
                  <pic:nvPicPr>
                    <pic:cNvPr id="0" name="evofact_evolution_loop.png"/>
                    <pic:cNvPicPr/>
                  </pic:nvPicPr>
                  <pic:blipFill>
                    <a:blip r:embed="rId12"/>
                    <a:stretch>
                      <a:fillRect/>
                    </a:stretch>
                  </pic:blipFill>
                  <pic:spPr>
                    <a:xfrm>
                      <a:off x="0" y="0"/>
                      <a:ext cx="5760000" cy="3104000"/>
                    </a:xfrm>
                    <a:prstGeom prst="rect"/>
                  </pic:spPr>
                </pic:pic>
              </a:graphicData>
            </a:graphic>
          </wp:inline>
        </w:drawing>
      </w:r>
    </w:p>
    <w:p>
      <w:pPr>
        <w:spacing w:before="60" w:after="100"/>
        <w:jc w:val="center"/>
      </w:pPr>
      <w:r>
        <w:rPr>
          <w:rFonts w:ascii="Times New Roman" w:hAnsi="Times New Roman" w:eastAsia="宋体"/>
          <w:b/>
          <w:i w:val="0"/>
          <w:color w:val="000000"/>
          <w:sz w:val="18"/>
        </w:rPr>
        <w:t>图2  DEMSE域情景元门控技能进化过程</w:t>
      </w:r>
    </w:p>
    <w:p>
      <w:pPr>
        <w:keepNext w:val="0"/>
        <w:spacing w:before="0" w:after="60" w:lineRule="auto" w:line="293"/>
        <w:ind w:firstLine="420"/>
        <w:jc w:val="both"/>
      </w:pPr>
      <w:r>
        <w:rPr>
          <w:rFonts w:ascii="Times New Roman" w:hAnsi="Times New Roman" w:eastAsia="宋体"/>
          <w:b w:val="0"/>
          <w:i w:val="0"/>
          <w:color w:val="000000"/>
          <w:sz w:val="21"/>
        </w:rPr>
        <w:t>如图2所示，每一轮首先在源领域中采样域级元情景。元训练域只负责前向推理和内层学习：系统保存核验轨迹，按照八类失效模式执行组件归因，将同类错误蒸馏为去标签经验，并在ADD、EDIT、SPLIT、MERGE、GENERALIZE、SPECIALIZE、RETIRE和ROLLBACK构成的离散操作空间内产生候选SkillBank。该过程不使用元测试域内容，因此候选不能直接记忆用于门控的域。</w:t>
      </w:r>
    </w:p>
    <w:p>
      <w:pPr>
        <w:keepNext w:val="0"/>
        <w:spacing w:before="0" w:after="60" w:lineRule="auto" w:line="293"/>
        <w:ind w:firstLine="420"/>
        <w:jc w:val="both"/>
      </w:pPr>
      <w:r>
        <w:rPr>
          <w:rFonts w:ascii="Times New Roman" w:hAnsi="Times New Roman" w:eastAsia="宋体"/>
          <w:b w:val="0"/>
          <w:i w:val="0"/>
          <w:color w:val="000000"/>
          <w:sz w:val="21"/>
        </w:rPr>
        <w:t>候选通过静态安全检查后进入元测试域。当前SkillBank和候选SkillBank在相同新闻、随机种子和调用预算下执行配对前向推理，外层门控计算跨域迁移效用。每个技能还维护域效用向量：若一个候选在多数元测试域上增益稳定且最差域退化受控，则允许晋升或泛化；若平均有效但效用方差较大，则优先特化到受益域；若持续产生负迁移，则降低路由权重或淘汰。</w:t>
      </w:r>
    </w:p>
    <w:p>
      <w:pPr>
        <w:keepNext w:val="0"/>
        <w:spacing w:before="0" w:after="60" w:lineRule="auto" w:line="293"/>
        <w:ind w:firstLine="420"/>
        <w:jc w:val="both"/>
      </w:pPr>
      <w:r>
        <w:rPr>
          <w:rFonts w:ascii="Times New Roman" w:hAnsi="Times New Roman" w:eastAsia="宋体"/>
          <w:b w:val="0"/>
          <w:i w:val="0"/>
          <w:color w:val="000000"/>
          <w:sz w:val="21"/>
        </w:rPr>
        <w:t>为避免一次随机划分造成偶然结论，DEMSE轮换多个元训练与元测试域组合。候选的最终处置基于跨情景平均增益、增益置信区间下界、最差域退化和负迁移比例。以Weibo21九个领域为例，可先冻结两个领域作为外层最终测试，再在剩余七个领域上采用五个元训练域与两个元测试域的重复划分，或者执行留一源域元测试。这样，外层反馈评价的是候选迁移到伪未知域的能力，而不是对当前训练域的继续拟合。</w:t>
      </w:r>
    </w:p>
    <w:p>
      <w:pPr>
        <w:spacing w:before="60" w:after="100"/>
        <w:jc w:val="center"/>
      </w:pPr>
      <w:r>
        <w:rPr>
          <w:rFonts w:ascii="Times New Roman" w:hAnsi="Times New Roman" w:eastAsia="宋体"/>
          <w:b/>
          <w:i w:val="0"/>
          <w:color w:val="000000"/>
          <w:sz w:val="18"/>
        </w:rPr>
        <w:t>表4  DEMSE外层元门控的指标与作用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维度</w:t>
            </w:r>
          </w:p>
        </w:tc>
        <w:tc>
          <w:tcPr>
            <w:tcW w:type="dxa" w:w="3402"/>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核心指标</w:t>
            </w:r>
          </w:p>
        </w:tc>
        <w:tc>
          <w:tcPr>
            <w:tcW w:type="dxa" w:w="4139"/>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门控作用</w:t>
            </w:r>
          </w:p>
        </w:tc>
      </w:tr>
      <w:tr>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分类性能</w:t>
            </w:r>
          </w:p>
        </w:tc>
        <w:tc>
          <w:tcPr>
            <w:tcW w:type="dxa" w:w="340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全样本Macro-F1 准确率</w:t>
            </w:r>
          </w:p>
        </w:tc>
        <w:tc>
          <w:tcPr>
            <w:tcW w:type="dxa" w:w="413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防止通过弃权抬高主指标</w:t>
            </w:r>
          </w:p>
        </w:tc>
      </w:tr>
      <w:tr>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选择性预测</w:t>
            </w:r>
          </w:p>
        </w:tc>
        <w:tc>
          <w:tcPr>
            <w:tcW w:type="dxa" w:w="3402"/>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覆盖率 已覆盖准确率 选择性风险</w:t>
            </w:r>
          </w:p>
        </w:tc>
        <w:tc>
          <w:tcPr>
            <w:tcW w:type="dxa" w:w="413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约束拒答策略</w:t>
            </w:r>
          </w:p>
        </w:tc>
      </w:tr>
      <w:tr>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可信度</w:t>
            </w:r>
          </w:p>
        </w:tc>
        <w:tc>
          <w:tcPr>
            <w:tcW w:type="dxa" w:w="340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ECE Brier分数</w:t>
            </w:r>
          </w:p>
        </w:tc>
        <w:tc>
          <w:tcPr>
            <w:tcW w:type="dxa" w:w="413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抑制高置信错误</w:t>
            </w:r>
          </w:p>
        </w:tc>
      </w:tr>
      <w:tr>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统计证据</w:t>
            </w:r>
          </w:p>
        </w:tc>
        <w:tc>
          <w:tcPr>
            <w:tcW w:type="dxa" w:w="3402"/>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跨情景Bootstrap McNemar检验</w:t>
            </w:r>
          </w:p>
        </w:tc>
        <w:tc>
          <w:tcPr>
            <w:tcW w:type="dxa" w:w="413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排除单次域划分的随机提升</w:t>
            </w:r>
          </w:p>
        </w:tc>
      </w:tr>
      <w:tr>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跨域稳定性</w:t>
            </w:r>
          </w:p>
        </w:tc>
        <w:tc>
          <w:tcPr>
            <w:tcW w:type="dxa" w:w="3402"/>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元测试域Macro-F1 最差域退化</w:t>
            </w:r>
          </w:p>
        </w:tc>
        <w:tc>
          <w:tcPr>
            <w:tcW w:type="dxa" w:w="413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评价伪未知域迁移</w:t>
            </w:r>
          </w:p>
        </w:tc>
      </w:tr>
      <w:tr>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资源约束</w:t>
            </w:r>
          </w:p>
        </w:tc>
        <w:tc>
          <w:tcPr>
            <w:tcW w:type="dxa" w:w="3402"/>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调用次数 token 成本 延迟</w:t>
            </w:r>
          </w:p>
        </w:tc>
        <w:tc>
          <w:tcPr>
            <w:tcW w:type="dxa" w:w="413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防止以无限计算换性能</w:t>
            </w:r>
          </w:p>
        </w:tc>
      </w:tr>
      <w:tr>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安全性</w:t>
            </w:r>
          </w:p>
        </w:tc>
        <w:tc>
          <w:tcPr>
            <w:tcW w:type="dxa" w:w="340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泄漏扫描 脚本扫描 人工审核</w:t>
            </w:r>
          </w:p>
        </w:tc>
        <w:tc>
          <w:tcPr>
            <w:tcW w:type="dxa" w:w="413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阻断高风险候选</w:t>
            </w:r>
          </w:p>
        </w:tc>
      </w:tr>
    </w:tbl>
    <w:p>
      <w:pPr>
        <w:spacing w:after="0"/>
      </w:pPr>
    </w:p>
    <w:p>
      <w:pPr>
        <w:keepNext w:val="0"/>
        <w:spacing w:before="0" w:after="60" w:lineRule="auto" w:line="293"/>
        <w:ind w:firstLine="420"/>
        <w:jc w:val="both"/>
      </w:pPr>
      <w:r>
        <w:rPr>
          <w:rFonts w:ascii="Times New Roman" w:hAnsi="Times New Roman" w:eastAsia="宋体"/>
          <w:b w:val="0"/>
          <w:i w:val="0"/>
          <w:color w:val="000000"/>
          <w:sz w:val="21"/>
        </w:rPr>
        <w:t>外层元门控首先要求候选在多个元测试域情景中的平均迁移增益达到阈值；其次要求增益置信区间下界为正、覆盖率和成本合格，并且任一元测试域的退化不超过上限；最后检查候选是否通过安全审核。全部满足时更新active SkillBank；平均有效但不同域表现分化时执行SPECIALIZE；在性能、覆盖率与成本上非支配但统计证据不足时进入Pareto档案[25]；持续负迁移时执行RETIRE或降低路由权重。由此，门控不再是技能生成后的附加验证，而是DEMSE定义外层学习目标和状态更新的组成部分。</w:t>
      </w:r>
    </w:p>
    <w:p>
      <w:pPr>
        <w:pStyle w:val="Heading1"/>
        <w:keepNext/>
        <w:spacing w:before="160" w:after="80"/>
        <w:ind w:firstLine="0"/>
      </w:pPr>
      <w:r>
        <w:rPr>
          <w:rFonts w:ascii="Times New Roman" w:hAnsi="Times New Roman" w:eastAsia="黑体"/>
          <w:b/>
          <w:i w:val="0"/>
          <w:color w:val="000000"/>
          <w:sz w:val="28"/>
        </w:rPr>
        <w:t>5 关键实现</w:t>
      </w:r>
    </w:p>
    <w:p>
      <w:pPr>
        <w:keepNext w:val="0"/>
        <w:spacing w:before="0" w:after="60" w:lineRule="auto" w:line="293"/>
        <w:ind w:firstLine="420"/>
        <w:jc w:val="both"/>
      </w:pPr>
      <w:r>
        <w:rPr>
          <w:rFonts w:ascii="Times New Roman" w:hAnsi="Times New Roman" w:eastAsia="宋体"/>
          <w:b w:val="0"/>
          <w:i w:val="0"/>
          <w:color w:val="000000"/>
          <w:sz w:val="21"/>
        </w:rPr>
        <w:t>原型采用Python 3.11和src目录布局，核心路径优先使用标准库，以确保无网络、无API密钥环境下可以运行。领域对象使用冻结dataclass与显式校验；配置使用受限YAML子集；命令行使用argparse；模型侧提供确定性MockBackend和OpenAI兼容HTTP后端。表5给出主要模块与实现责任。</w:t>
      </w:r>
    </w:p>
    <w:p>
      <w:pPr>
        <w:spacing w:before="60" w:after="100"/>
        <w:jc w:val="center"/>
      </w:pPr>
      <w:r>
        <w:rPr>
          <w:rFonts w:ascii="Times New Roman" w:hAnsi="Times New Roman" w:eastAsia="宋体"/>
          <w:b/>
          <w:i w:val="0"/>
          <w:color w:val="000000"/>
          <w:sz w:val="18"/>
        </w:rPr>
        <w:t>表5  原型模块与关键实现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474"/>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模块</w:t>
            </w:r>
          </w:p>
        </w:tc>
        <w:tc>
          <w:tcPr>
            <w:tcW w:type="dxa" w:w="345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关键组件</w:t>
            </w:r>
          </w:p>
        </w:tc>
        <w:tc>
          <w:tcPr>
            <w:tcW w:type="dxa" w:w="4309"/>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关键保证</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core</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Sample SkillSpec Trace GateDecision</w:t>
            </w:r>
          </w:p>
        </w:tc>
        <w:tc>
          <w:tcPr>
            <w:tcW w:type="dxa" w:w="430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不可变对象与敏感字段递归删除</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data</w:t>
            </w:r>
          </w:p>
        </w:tc>
        <w:tc>
          <w:tcPr>
            <w:tcW w:type="dxa" w:w="3458"/>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四类Adapter Manifest Leakage</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稳定指纹 事件原子 时间隔离</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runtime</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Router Backend Aggregator TraceStore</w:t>
            </w:r>
          </w:p>
        </w:tc>
        <w:tc>
          <w:tcPr>
            <w:tcW w:type="dxa" w:w="430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去标签输入 确定性兜底 完整轨迹</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attribution</w:t>
            </w:r>
          </w:p>
        </w:tc>
        <w:tc>
          <w:tcPr>
            <w:tcW w:type="dxa" w:w="3458"/>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Rules Clustering Counterfactual</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八类错误与留一技能贡献</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evolution</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Distiller Proposer Lifecycle MetaLoop</w:t>
            </w:r>
          </w:p>
        </w:tc>
        <w:tc>
          <w:tcPr>
            <w:tcW w:type="dxa" w:w="4309"/>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候选无权覆盖active 慢循环默认关闭</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validation</w:t>
            </w:r>
          </w:p>
        </w:tc>
        <w:tc>
          <w:tcPr>
            <w:tcW w:type="dxa" w:w="3458"/>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Statistics Pareto Gate</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配对检验 保护域回归 多目标约束</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skills</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Loader Repository UtilityTracker</w:t>
            </w:r>
          </w:p>
        </w:tc>
        <w:tc>
          <w:tcPr>
            <w:tcW w:type="dxa" w:w="430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内容寻址 追加日志 原子回滚</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security</w:t>
            </w:r>
          </w:p>
        </w:tc>
        <w:tc>
          <w:tcPr>
            <w:tcW w:type="dxa" w:w="345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AST Scanner</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危险导入与调用阻断</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experiments</w:t>
            </w:r>
          </w:p>
        </w:tc>
        <w:tc>
          <w:tcPr>
            <w:tcW w:type="dxa" w:w="345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Runner Protocol Checkpoint</w:t>
            </w:r>
          </w:p>
        </w:tc>
        <w:tc>
          <w:tcPr>
            <w:tcW w:type="dxa" w:w="430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统一八实验臂 断点续跑</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reporting</w:t>
            </w:r>
          </w:p>
        </w:tc>
        <w:tc>
          <w:tcPr>
            <w:tcW w:type="dxa" w:w="345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JSON CSV Markdown</w:t>
            </w:r>
          </w:p>
        </w:tc>
        <w:tc>
          <w:tcPr>
            <w:tcW w:type="dxa" w:w="430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显式标注无效或样本不足运行</w:t>
            </w:r>
          </w:p>
        </w:tc>
      </w:tr>
    </w:tbl>
    <w:p>
      <w:pPr>
        <w:spacing w:after="0"/>
      </w:pPr>
    </w:p>
    <w:p>
      <w:pPr>
        <w:keepNext w:val="0"/>
        <w:spacing w:before="0" w:after="60" w:lineRule="auto" w:line="293"/>
        <w:ind w:firstLine="420"/>
        <w:jc w:val="both"/>
      </w:pPr>
      <w:r>
        <w:rPr>
          <w:rFonts w:ascii="Times New Roman" w:hAnsi="Times New Roman" w:eastAsia="宋体"/>
          <w:b w:val="0"/>
          <w:i w:val="0"/>
          <w:color w:val="000000"/>
          <w:sz w:val="21"/>
        </w:rPr>
        <w:t>DEMSE在现有模块边界上增加三个研究组件。DomainEpisodeSampler按完整领域生成可复现的元训练与元测试组合；CrossEpisodeUtilityAggregator将逐情景的配对增益、最差域退化和技能域效用合并为迁移统计；MetaGateUpdater依据聚合结果产生PROMOTE、GENERALIZE、SPECIALIZE、PARETO或RETIRE状态转移。三个组件只依赖manifest、逐样本评估结果和候选版本，不修改底层模型后端。</w:t>
      </w:r>
    </w:p>
    <w:p>
      <w:pPr>
        <w:keepNext w:val="0"/>
        <w:spacing w:before="0" w:after="60" w:lineRule="auto" w:line="293"/>
        <w:ind w:firstLine="420"/>
        <w:jc w:val="both"/>
      </w:pPr>
      <w:r>
        <w:rPr>
          <w:rFonts w:ascii="Times New Roman" w:hAnsi="Times New Roman" w:eastAsia="宋体"/>
          <w:b w:val="0"/>
          <w:i w:val="0"/>
          <w:color w:val="000000"/>
          <w:sz w:val="21"/>
        </w:rPr>
        <w:t>统一命令行覆盖data inspect、data manifest、dry-run、evolve、validate、test、ablation、report以及技能查看、冻结、淘汰、差异和回滚。最终测试命令只构造冻结的DataManifest.test、活动SkillBank、推理运行时和评估器，不创建EvolutionEngine，也不更新技能仓库。模型凭据仅从环境变量解析，配置和日志不得存储密钥。</w:t>
      </w:r>
    </w:p>
    <w:p>
      <w:pPr>
        <w:keepNext w:val="0"/>
        <w:spacing w:before="0" w:after="60" w:lineRule="auto" w:line="293"/>
        <w:ind w:firstLine="420"/>
        <w:jc w:val="both"/>
      </w:pPr>
      <w:r>
        <w:rPr>
          <w:rFonts w:ascii="Times New Roman" w:hAnsi="Times New Roman" w:eastAsia="宋体"/>
          <w:b w:val="0"/>
          <w:i w:val="0"/>
          <w:color w:val="000000"/>
          <w:sz w:val="21"/>
        </w:rPr>
        <w:t>候选脚本安全采用分层防护。静态阶段拒绝subprocess、socket、requests等模块和eval、exec、open、system、remove等危险调用；资源路径必须位于技能包内部。由于Python进程无法提供完美沙箱，原型将任何脚本型技能标记为review_required，只有在外部受限执行环境与人工审核均完成后才可进入正式端到端验证。</w:t>
      </w:r>
    </w:p>
    <w:p>
      <w:pPr>
        <w:pStyle w:val="Heading1"/>
        <w:keepNext/>
        <w:spacing w:before="160" w:after="80"/>
        <w:ind w:firstLine="0"/>
      </w:pPr>
      <w:r>
        <w:rPr>
          <w:rFonts w:ascii="Times New Roman" w:hAnsi="Times New Roman" w:eastAsia="黑体"/>
          <w:b/>
          <w:i w:val="0"/>
          <w:color w:val="000000"/>
          <w:sz w:val="28"/>
        </w:rPr>
        <w:t>6 实验设计</w:t>
      </w:r>
    </w:p>
    <w:p>
      <w:pPr>
        <w:pStyle w:val="Heading2"/>
        <w:keepNext/>
        <w:spacing w:before="100" w:after="80"/>
        <w:ind w:firstLine="0"/>
      </w:pPr>
      <w:r>
        <w:rPr>
          <w:rFonts w:ascii="Times New Roman" w:hAnsi="Times New Roman" w:eastAsia="黑体"/>
          <w:b/>
          <w:i w:val="0"/>
          <w:color w:val="000000"/>
          <w:sz w:val="21"/>
        </w:rPr>
        <w:t>6.1 研究问题</w:t>
      </w:r>
    </w:p>
    <w:p>
      <w:pPr>
        <w:keepNext w:val="0"/>
        <w:spacing w:before="0" w:after="60" w:lineRule="auto" w:line="293"/>
        <w:ind w:firstLine="420"/>
        <w:jc w:val="both"/>
      </w:pPr>
      <w:r>
        <w:rPr>
          <w:rFonts w:ascii="Times New Roman" w:hAnsi="Times New Roman" w:eastAsia="宋体"/>
          <w:b w:val="0"/>
          <w:i w:val="0"/>
          <w:color w:val="000000"/>
          <w:sz w:val="21"/>
        </w:rPr>
        <w:t>正式实验围绕DEMSE这一核心方法回答四个问题：RQ1，与单LLM、静态多智能体和非元进化SkillBank相比，域情景元门控能否提高完全未见域的Macro-F1与最差域性能；RQ2，按完整领域划分的重复元情景是否优于样本级随机划分、单次固定域划分和不使用元测试门控；RQ3，元测试迁移效用能否正确驱动技能泛化、特化与淘汰，并降低负迁移率；RQ4，跨域收益是否能够延伸到未来时间窗和对抗改写数据，同时保持覆盖率、校准与成本可控。</w:t>
      </w:r>
    </w:p>
    <w:p>
      <w:pPr>
        <w:pStyle w:val="Heading2"/>
        <w:keepNext/>
        <w:spacing w:before="100" w:after="80"/>
        <w:ind w:firstLine="0"/>
      </w:pPr>
      <w:r>
        <w:rPr>
          <w:rFonts w:ascii="Times New Roman" w:hAnsi="Times New Roman" w:eastAsia="黑体"/>
          <w:b/>
          <w:i w:val="0"/>
          <w:color w:val="000000"/>
          <w:sz w:val="21"/>
        </w:rPr>
        <w:t>6.2 数据划分与对比方法</w:t>
      </w:r>
    </w:p>
    <w:p>
      <w:pPr>
        <w:keepNext w:val="0"/>
        <w:spacing w:before="0" w:after="60" w:lineRule="auto" w:line="293"/>
        <w:ind w:firstLine="420"/>
        <w:jc w:val="both"/>
      </w:pPr>
      <w:r>
        <w:rPr>
          <w:rFonts w:ascii="Times New Roman" w:hAnsi="Times New Roman" w:eastAsia="宋体"/>
          <w:b w:val="0"/>
          <w:i w:val="0"/>
          <w:color w:val="000000"/>
          <w:sz w:val="21"/>
        </w:rPr>
        <w:t>实验采用三层隔离。第一层从Weibo21九个领域中冻结一个或两个完整领域作为外层最终测试域；第二层在剩余源领域中反复采样元训练域和元测试域，元训练域用于生成候选，元测试域用于外层门控；第三层在每个领域内部按事件原子划分前向推理样本，防止同一事件转述跨集合出现。AMTCele用于跨语言和风格迁移，LiveFact用于时间漂移，AdvFake仅用于最终对抗鲁棒性测试。所有比较方法共用相同外层测试域、元情景序列、模型版本、调用预算和指标实现。</w:t>
      </w:r>
    </w:p>
    <w:p>
      <w:pPr>
        <w:spacing w:before="60" w:after="100"/>
        <w:jc w:val="center"/>
      </w:pPr>
      <w:r>
        <w:rPr>
          <w:rFonts w:ascii="Times New Roman" w:hAnsi="Times New Roman" w:eastAsia="宋体"/>
          <w:b/>
          <w:i w:val="0"/>
          <w:color w:val="000000"/>
          <w:sz w:val="18"/>
        </w:rPr>
        <w:t>表6  DEMSE核心对比与消融实验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90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编号</w:t>
            </w:r>
          </w:p>
        </w:tc>
        <w:tc>
          <w:tcPr>
            <w:tcW w:type="dxa" w:w="283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实验臂</w:t>
            </w:r>
          </w:p>
        </w:tc>
        <w:tc>
          <w:tcPr>
            <w:tcW w:type="dxa" w:w="5499"/>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目的</w:t>
            </w:r>
          </w:p>
        </w:tc>
      </w:tr>
      <w:tr>
        <w:tc>
          <w:tcPr>
            <w:tcW w:type="dxa" w:w="90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B1</w:t>
            </w:r>
          </w:p>
        </w:tc>
        <w:tc>
          <w:tcPr>
            <w:tcW w:type="dxa" w:w="283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单LLM</w:t>
            </w:r>
          </w:p>
        </w:tc>
        <w:tc>
          <w:tcPr>
            <w:tcW w:type="dxa" w:w="549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测量不分解任务的基础能力</w:t>
            </w:r>
          </w:p>
        </w:tc>
      </w:tr>
      <w:tr>
        <w:tc>
          <w:tcPr>
            <w:tcW w:type="dxa" w:w="90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B2</w:t>
            </w:r>
          </w:p>
        </w:tc>
        <w:tc>
          <w:tcPr>
            <w:tcW w:type="dxa" w:w="283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静态多智能体</w:t>
            </w:r>
          </w:p>
        </w:tc>
        <w:tc>
          <w:tcPr>
            <w:tcW w:type="dxa" w:w="549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测量固定专家流程收益</w:t>
            </w:r>
          </w:p>
        </w:tc>
      </w:tr>
      <w:tr>
        <w:tc>
          <w:tcPr>
            <w:tcW w:type="dxa" w:w="90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B3</w:t>
            </w:r>
          </w:p>
        </w:tc>
        <w:tc>
          <w:tcPr>
            <w:tcW w:type="dxa" w:w="283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仅Prompt进化</w:t>
            </w:r>
          </w:p>
        </w:tc>
        <w:tc>
          <w:tcPr>
            <w:tcW w:type="dxa" w:w="549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区分普通文本改写与技能空间更新</w:t>
            </w:r>
          </w:p>
        </w:tc>
      </w:tr>
      <w:tr>
        <w:tc>
          <w:tcPr>
            <w:tcW w:type="dxa" w:w="90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B4</w:t>
            </w:r>
          </w:p>
        </w:tc>
        <w:tc>
          <w:tcPr>
            <w:tcW w:type="dxa" w:w="283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非元SkillBank进化</w:t>
            </w:r>
          </w:p>
        </w:tc>
        <w:tc>
          <w:tcPr>
            <w:tcW w:type="dxa" w:w="549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所有源域共同生成和选择候选</w:t>
            </w:r>
          </w:p>
        </w:tc>
      </w:tr>
      <w:tr>
        <w:tc>
          <w:tcPr>
            <w:tcW w:type="dxa" w:w="90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B5</w:t>
            </w:r>
          </w:p>
        </w:tc>
        <w:tc>
          <w:tcPr>
            <w:tcW w:type="dxa" w:w="283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样本级随机元划分</w:t>
            </w:r>
          </w:p>
        </w:tc>
        <w:tc>
          <w:tcPr>
            <w:tcW w:type="dxa" w:w="549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验证领域完整划分的必要性</w:t>
            </w:r>
          </w:p>
        </w:tc>
      </w:tr>
      <w:tr>
        <w:tc>
          <w:tcPr>
            <w:tcW w:type="dxa" w:w="90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B6</w:t>
            </w:r>
          </w:p>
        </w:tc>
        <w:tc>
          <w:tcPr>
            <w:tcW w:type="dxa" w:w="283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单次固定域元划分</w:t>
            </w:r>
          </w:p>
        </w:tc>
        <w:tc>
          <w:tcPr>
            <w:tcW w:type="dxa" w:w="549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验证重复域情景的稳定性</w:t>
            </w:r>
          </w:p>
        </w:tc>
      </w:tr>
      <w:tr>
        <w:tc>
          <w:tcPr>
            <w:tcW w:type="dxa" w:w="90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B7</w:t>
            </w:r>
          </w:p>
        </w:tc>
        <w:tc>
          <w:tcPr>
            <w:tcW w:type="dxa" w:w="283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DEMSE无负迁移处置</w:t>
            </w:r>
          </w:p>
        </w:tc>
        <w:tc>
          <w:tcPr>
            <w:tcW w:type="dxa" w:w="5499"/>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验证特化和淘汰策略</w:t>
            </w:r>
          </w:p>
        </w:tc>
      </w:tr>
      <w:tr>
        <w:tc>
          <w:tcPr>
            <w:tcW w:type="dxa" w:w="90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B8</w:t>
            </w:r>
          </w:p>
        </w:tc>
        <w:tc>
          <w:tcPr>
            <w:tcW w:type="dxa" w:w="283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DEMSE完整系统</w:t>
            </w:r>
          </w:p>
        </w:tc>
        <w:tc>
          <w:tcPr>
            <w:tcW w:type="dxa" w:w="5499"/>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域内层候选生成与域外层元门控</w:t>
            </w:r>
          </w:p>
        </w:tc>
      </w:tr>
    </w:tbl>
    <w:p>
      <w:pPr>
        <w:spacing w:after="0"/>
      </w:pPr>
    </w:p>
    <w:p>
      <w:pPr>
        <w:pStyle w:val="Heading2"/>
        <w:keepNext/>
        <w:spacing w:before="100" w:after="80"/>
        <w:ind w:firstLine="0"/>
      </w:pPr>
      <w:r>
        <w:rPr>
          <w:rFonts w:ascii="Times New Roman" w:hAnsi="Times New Roman" w:eastAsia="黑体"/>
          <w:b/>
          <w:i w:val="0"/>
          <w:color w:val="000000"/>
          <w:sz w:val="21"/>
        </w:rPr>
        <w:t>6.3 指标与统计检验</w:t>
      </w:r>
    </w:p>
    <w:p>
      <w:pPr>
        <w:keepNext w:val="0"/>
        <w:spacing w:before="0" w:after="60" w:lineRule="auto" w:line="293"/>
        <w:ind w:firstLine="420"/>
        <w:jc w:val="both"/>
      </w:pPr>
      <w:r>
        <w:rPr>
          <w:rFonts w:ascii="Times New Roman" w:hAnsi="Times New Roman" w:eastAsia="宋体"/>
          <w:b w:val="0"/>
          <w:i w:val="0"/>
          <w:color w:val="000000"/>
          <w:sz w:val="21"/>
        </w:rPr>
        <w:t>主指标为外层未见域Macro-F1和最差域Macro-F1，ABSTAIN在全样本主指标中计为未正确分类；同时报告coverage、covered accuracy和selective risk[21]。可信度使用期望校准误差与Brier分数[22]，效率报告每样本模型调用、token、平均成本和延迟。DEMSE专用指标包括元训练到元测试的泛化间隙、候选跨域通过率、负迁移率、技能域效用方差，以及元测试增益与最终未见域增益的相关性。每个实验采用多个随机种子和多个域情景，使用配对Bootstrap区间[23]和McNemar检验[24]报告效应量与95%置信区间。</w:t>
      </w:r>
    </w:p>
    <w:p>
      <w:pPr>
        <w:pStyle w:val="Heading2"/>
        <w:keepNext/>
        <w:spacing w:before="100" w:after="80"/>
        <w:ind w:firstLine="0"/>
      </w:pPr>
      <w:r>
        <w:rPr>
          <w:rFonts w:ascii="Times New Roman" w:hAnsi="Times New Roman" w:eastAsia="黑体"/>
          <w:b/>
          <w:i w:val="0"/>
          <w:color w:val="000000"/>
          <w:sz w:val="21"/>
        </w:rPr>
        <w:t>6.4 可复现设置</w:t>
      </w:r>
    </w:p>
    <w:p>
      <w:pPr>
        <w:keepNext w:val="0"/>
        <w:spacing w:before="0" w:after="60" w:lineRule="auto" w:line="293"/>
        <w:ind w:firstLine="420"/>
        <w:jc w:val="both"/>
      </w:pPr>
      <w:r>
        <w:rPr>
          <w:rFonts w:ascii="Times New Roman" w:hAnsi="Times New Roman" w:eastAsia="宋体"/>
          <w:b w:val="0"/>
          <w:i w:val="0"/>
          <w:color w:val="000000"/>
          <w:sz w:val="21"/>
        </w:rPr>
        <w:t>正式运行需固定代码提交、底层模型名称与服务版本、温度、最大token、随机种子、并发数、SkillBank快照、数据manifest、最终测试域和全部元情景序列。每次候选验证保存其元训练域、元测试域、逐样本配对结果、迁移效用、统计检验、负迁移处置、安全报告与版本差异。大语言模型服务存在不可控非确定性，因此同一候选必须重复执行；异常、超时或结果不完整的运行标记为无效。</w:t>
      </w:r>
    </w:p>
    <w:p>
      <w:pPr>
        <w:pStyle w:val="Heading1"/>
        <w:keepNext/>
        <w:spacing w:before="160" w:after="80"/>
        <w:ind w:firstLine="0"/>
      </w:pPr>
      <w:r>
        <w:rPr>
          <w:rFonts w:ascii="Times New Roman" w:hAnsi="Times New Roman" w:eastAsia="黑体"/>
          <w:b/>
          <w:i w:val="0"/>
          <w:color w:val="000000"/>
          <w:sz w:val="28"/>
        </w:rPr>
        <w:t>7 当前原型验证结果</w:t>
      </w:r>
    </w:p>
    <w:p>
      <w:pPr>
        <w:pStyle w:val="Heading2"/>
        <w:keepNext/>
        <w:spacing w:before="100" w:after="80"/>
        <w:ind w:firstLine="0"/>
      </w:pPr>
      <w:r>
        <w:rPr>
          <w:rFonts w:ascii="Times New Roman" w:hAnsi="Times New Roman" w:eastAsia="黑体"/>
          <w:b/>
          <w:i w:val="0"/>
          <w:color w:val="000000"/>
          <w:sz w:val="21"/>
        </w:rPr>
        <w:t>7.1 自动化测试</w:t>
      </w:r>
    </w:p>
    <w:p>
      <w:pPr>
        <w:keepNext w:val="0"/>
        <w:spacing w:before="0" w:after="60" w:lineRule="auto" w:line="293"/>
        <w:ind w:firstLine="420"/>
        <w:jc w:val="both"/>
      </w:pPr>
      <w:r>
        <w:rPr>
          <w:rFonts w:ascii="Times New Roman" w:hAnsi="Times New Roman" w:eastAsia="宋体"/>
          <w:b w:val="0"/>
          <w:i w:val="0"/>
          <w:color w:val="000000"/>
          <w:sz w:val="21"/>
        </w:rPr>
        <w:t>当前实现已在无网络、无API密钥环境中通过20项标准库unittest测试。测试覆盖对象不可变性与标签脱敏、四类数据适配器、manifest复现与泄漏检测、弃权分母回归、统计与Pareto门控、技能版本原子性、八类生命周期、安全扫描、效用跟踪、完整轨迹、八类错误归因、最终测试只读、八实验臂和断点续跑。测试的作用是验证闭环功能和关键安全不变量，不代表真实数据集上的检测性能。</w:t>
      </w:r>
    </w:p>
    <w:p>
      <w:pPr>
        <w:spacing w:before="60" w:after="100"/>
        <w:jc w:val="center"/>
      </w:pPr>
      <w:r>
        <w:rPr>
          <w:rFonts w:ascii="Times New Roman" w:hAnsi="Times New Roman" w:eastAsia="宋体"/>
          <w:b/>
          <w:i w:val="0"/>
          <w:color w:val="000000"/>
          <w:sz w:val="18"/>
        </w:rPr>
        <w:t>表7  当前工程验证结果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226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验证项</w:t>
            </w:r>
          </w:p>
        </w:tc>
        <w:tc>
          <w:tcPr>
            <w:tcW w:type="dxa" w:w="192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结果</w:t>
            </w:r>
          </w:p>
        </w:tc>
        <w:tc>
          <w:tcPr>
            <w:tcW w:type="dxa" w:w="5046"/>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说明</w:t>
            </w:r>
          </w:p>
        </w:tc>
      </w:tr>
      <w:tr>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自动化测试</w:t>
            </w:r>
          </w:p>
        </w:tc>
        <w:tc>
          <w:tcPr>
            <w:tcW w:type="dxa" w:w="192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20项全部通过</w:t>
            </w:r>
          </w:p>
        </w:tc>
        <w:tc>
          <w:tcPr>
            <w:tcW w:type="dxa" w:w="5046"/>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覆盖核心单元 集成与端到端路径</w:t>
            </w:r>
          </w:p>
        </w:tc>
      </w:tr>
      <w:tr>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Python语法检查</w:t>
            </w:r>
          </w:p>
        </w:tc>
        <w:tc>
          <w:tcPr>
            <w:tcW w:type="dxa" w:w="192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通过</w:t>
            </w:r>
          </w:p>
        </w:tc>
        <w:tc>
          <w:tcPr>
            <w:tcW w:type="dxa" w:w="5046"/>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源代码与测试文件可解析</w:t>
            </w:r>
          </w:p>
        </w:tc>
      </w:tr>
      <w:tr>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离线源码构建</w:t>
            </w:r>
          </w:p>
        </w:tc>
        <w:tc>
          <w:tcPr>
            <w:tcW w:type="dxa" w:w="192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通过</w:t>
            </w:r>
          </w:p>
        </w:tc>
        <w:tc>
          <w:tcPr>
            <w:tcW w:type="dxa" w:w="5046"/>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setup.py build无网络完成</w:t>
            </w:r>
          </w:p>
        </w:tc>
      </w:tr>
      <w:tr>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最终测试只读</w:t>
            </w:r>
          </w:p>
        </w:tc>
        <w:tc>
          <w:tcPr>
            <w:tcW w:type="dxa" w:w="192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通过</w:t>
            </w:r>
          </w:p>
        </w:tc>
        <w:tc>
          <w:tcPr>
            <w:tcW w:type="dxa" w:w="5046"/>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测试前后SkillBank内容哈希一致</w:t>
            </w:r>
          </w:p>
        </w:tc>
      </w:tr>
      <w:tr>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CLI闭环</w:t>
            </w:r>
          </w:p>
        </w:tc>
        <w:tc>
          <w:tcPr>
            <w:tcW w:type="dxa" w:w="192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通过</w:t>
            </w:r>
          </w:p>
        </w:tc>
        <w:tc>
          <w:tcPr>
            <w:tcW w:type="dxa" w:w="5046"/>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数据检查 验证 消融 报告 进化可运行</w:t>
            </w:r>
          </w:p>
        </w:tc>
      </w:tr>
    </w:tbl>
    <w:p>
      <w:pPr>
        <w:spacing w:after="0"/>
      </w:pPr>
    </w:p>
    <w:p>
      <w:pPr>
        <w:pStyle w:val="Heading2"/>
        <w:keepNext/>
        <w:spacing w:before="100" w:after="80"/>
        <w:ind w:firstLine="0"/>
      </w:pPr>
      <w:r>
        <w:rPr>
          <w:rFonts w:ascii="Times New Roman" w:hAnsi="Times New Roman" w:eastAsia="黑体"/>
          <w:b/>
          <w:i w:val="0"/>
          <w:color w:val="000000"/>
          <w:sz w:val="21"/>
        </w:rPr>
        <w:t>7.2 离线微型闭环</w:t>
      </w:r>
    </w:p>
    <w:p>
      <w:pPr>
        <w:keepNext w:val="0"/>
        <w:spacing w:before="0" w:after="60" w:lineRule="auto" w:line="293"/>
        <w:ind w:firstLine="420"/>
        <w:jc w:val="both"/>
      </w:pPr>
      <w:r>
        <w:rPr>
          <w:rFonts w:ascii="Times New Roman" w:hAnsi="Times New Roman" w:eastAsia="宋体"/>
          <w:b w:val="0"/>
          <w:i w:val="0"/>
          <w:color w:val="000000"/>
          <w:sz w:val="21"/>
        </w:rPr>
        <w:t>为验证从失败归因到候选验证的完整路径，原型构造了4个独立验证样本，并使用确定性MockBackend。基线在4个样本上预测3个正确，accuracy_all为0.7500，macro_f1_all为0.7333，coverage为1.0000，selective_risk为0.2500，Brier分数为0.1875，平均模型成本记为0。针对其中的推理错误生成候选技能后，候选点估计在该微型集合上达到macro_f1_all 1.0000；但配对Bootstrap区间下界为0，McNemar检验p值约为0.4795，统计证据不足。门控因此没有把候选晋升为活动版本，而是归入Pareto状态。</w:t>
      </w:r>
    </w:p>
    <w:p>
      <w:pPr>
        <w:spacing w:before="60" w:after="100"/>
        <w:jc w:val="center"/>
      </w:pPr>
      <w:r>
        <w:rPr>
          <w:rFonts w:ascii="Times New Roman" w:hAnsi="Times New Roman" w:eastAsia="宋体"/>
          <w:b/>
          <w:i w:val="0"/>
          <w:color w:val="000000"/>
          <w:sz w:val="18"/>
        </w:rPr>
        <w:t>表8  离线微型闭环结果及其解释</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87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项目</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基线</w:t>
            </w:r>
          </w:p>
        </w:tc>
        <w:tc>
          <w:tcPr>
            <w:tcW w:type="dxa" w:w="2494"/>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候选</w:t>
            </w:r>
          </w:p>
        </w:tc>
        <w:tc>
          <w:tcPr>
            <w:tcW w:type="dxa" w:w="317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门控解释</w:t>
            </w:r>
          </w:p>
        </w:tc>
      </w:tr>
      <w:tr>
        <w:tc>
          <w:tcPr>
            <w:tcW w:type="dxa" w:w="187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样本数</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4</w:t>
            </w:r>
          </w:p>
        </w:tc>
        <w:tc>
          <w:tcPr>
            <w:tcW w:type="dxa" w:w="249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4</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仅用于功能验收</w:t>
            </w:r>
          </w:p>
        </w:tc>
      </w:tr>
      <w:tr>
        <w:tc>
          <w:tcPr>
            <w:tcW w:type="dxa" w:w="187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Accuracy all</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0.7500</w:t>
            </w:r>
          </w:p>
        </w:tc>
        <w:tc>
          <w:tcPr>
            <w:tcW w:type="dxa" w:w="249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1.0000</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正向点估计</w:t>
            </w:r>
          </w:p>
        </w:tc>
      </w:tr>
      <w:tr>
        <w:tc>
          <w:tcPr>
            <w:tcW w:type="dxa" w:w="187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Macro F1 all</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0.7333</w:t>
            </w:r>
          </w:p>
        </w:tc>
        <w:tc>
          <w:tcPr>
            <w:tcW w:type="dxa" w:w="249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1.0000</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正向点估计</w:t>
            </w:r>
          </w:p>
        </w:tc>
      </w:tr>
      <w:tr>
        <w:tc>
          <w:tcPr>
            <w:tcW w:type="dxa" w:w="187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Coverage</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1.0000</w:t>
            </w:r>
          </w:p>
        </w:tc>
        <w:tc>
          <w:tcPr>
            <w:tcW w:type="dxa" w:w="249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1.0000</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无弃权收益</w:t>
            </w:r>
          </w:p>
        </w:tc>
      </w:tr>
      <w:tr>
        <w:tc>
          <w:tcPr>
            <w:tcW w:type="dxa" w:w="187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配对统计</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不适用</w:t>
            </w:r>
          </w:p>
        </w:tc>
        <w:tc>
          <w:tcPr>
            <w:tcW w:type="dxa" w:w="249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p约0.4795 区间下界0</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不支持有效提升</w:t>
            </w:r>
          </w:p>
        </w:tc>
      </w:tr>
      <w:tr>
        <w:tc>
          <w:tcPr>
            <w:tcW w:type="dxa" w:w="187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处置</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保持active</w:t>
            </w:r>
          </w:p>
        </w:tc>
        <w:tc>
          <w:tcPr>
            <w:tcW w:type="dxa" w:w="249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进入Pareto</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不宣称正式性能改进</w:t>
            </w:r>
          </w:p>
        </w:tc>
      </w:tr>
    </w:tbl>
    <w:p>
      <w:pPr>
        <w:spacing w:after="0"/>
      </w:pPr>
    </w:p>
    <w:p>
      <w:pPr>
        <w:keepNext w:val="0"/>
        <w:spacing w:before="0" w:after="60" w:lineRule="auto" w:line="293"/>
        <w:ind w:firstLine="420"/>
        <w:jc w:val="both"/>
      </w:pPr>
      <w:r>
        <w:rPr>
          <w:rFonts w:ascii="Times New Roman" w:hAnsi="Times New Roman" w:eastAsia="宋体"/>
          <w:b w:val="0"/>
          <w:i w:val="0"/>
          <w:color w:val="000000"/>
          <w:sz w:val="21"/>
        </w:rPr>
        <w:t>这一结果体现门控设计的核心作用：即使候选在小样本上获得明显的点估计提升，系统也不会把缺少统计支持的变化自动上线。相反，候选被保留以供扩大验证集或后续人工分析。该实验不能用于与现有假新闻检测方法比较，也不能作为论文最终性能结论。</w:t>
      </w:r>
    </w:p>
    <w:p>
      <w:pPr>
        <w:pStyle w:val="Heading2"/>
        <w:keepNext/>
        <w:spacing w:before="100" w:after="80"/>
        <w:ind w:firstLine="0"/>
      </w:pPr>
      <w:r>
        <w:rPr>
          <w:rFonts w:ascii="Times New Roman" w:hAnsi="Times New Roman" w:eastAsia="黑体"/>
          <w:b/>
          <w:i w:val="0"/>
          <w:color w:val="000000"/>
          <w:sz w:val="21"/>
        </w:rPr>
        <w:t>7.3 当前尚缺少的正式证据</w:t>
      </w:r>
    </w:p>
    <w:p>
      <w:pPr>
        <w:keepNext w:val="0"/>
        <w:spacing w:before="0" w:after="60" w:lineRule="auto" w:line="293"/>
        <w:ind w:firstLine="420"/>
        <w:jc w:val="both"/>
      </w:pPr>
      <w:r>
        <w:rPr>
          <w:rFonts w:ascii="Times New Roman" w:hAnsi="Times New Roman" w:eastAsia="宋体"/>
          <w:b w:val="0"/>
          <w:i w:val="0"/>
          <w:color w:val="000000"/>
          <w:sz w:val="21"/>
        </w:rPr>
        <w:t>当前代码尚未实现DEMSE的域情景采样器、跨情景迁移效用聚合器和外层元门控更新器，因此现有4样本结果只能验证基础技能进化门控，不能验证本文新增的跨域核心方法。在提交研究论文前，必须完成DEMSE实现，并补齐四个真实数据集、八个核心实验臂、多随机种子和多域情景的结果，重点证明元测试收益能够迁移到从未参与内外层学习的最终测试域。</w:t>
      </w:r>
    </w:p>
    <w:p>
      <w:pPr>
        <w:pStyle w:val="Heading1"/>
        <w:keepNext/>
        <w:spacing w:before="160" w:after="80"/>
        <w:ind w:firstLine="0"/>
      </w:pPr>
      <w:r>
        <w:rPr>
          <w:rFonts w:ascii="Times New Roman" w:hAnsi="Times New Roman" w:eastAsia="黑体"/>
          <w:b/>
          <w:i w:val="0"/>
          <w:color w:val="000000"/>
          <w:sz w:val="28"/>
        </w:rPr>
        <w:t>8 方法创新性与讨论</w:t>
      </w:r>
    </w:p>
    <w:p>
      <w:pPr>
        <w:pStyle w:val="Heading2"/>
        <w:keepNext/>
        <w:spacing w:before="100" w:after="80"/>
        <w:ind w:firstLine="0"/>
      </w:pPr>
      <w:r>
        <w:rPr>
          <w:rFonts w:ascii="Times New Roman" w:hAnsi="Times New Roman" w:eastAsia="黑体"/>
          <w:b/>
          <w:i w:val="0"/>
          <w:color w:val="000000"/>
          <w:sz w:val="21"/>
        </w:rPr>
        <w:t>8.1 统一核心创新</w:t>
      </w:r>
    </w:p>
    <w:p>
      <w:pPr>
        <w:keepNext w:val="0"/>
        <w:spacing w:before="0" w:after="60" w:lineRule="auto" w:line="293"/>
        <w:ind w:firstLine="420"/>
        <w:jc w:val="both"/>
      </w:pPr>
      <w:r>
        <w:rPr>
          <w:rFonts w:ascii="Times New Roman" w:hAnsi="Times New Roman" w:eastAsia="宋体"/>
          <w:b w:val="0"/>
          <w:i w:val="0"/>
          <w:color w:val="000000"/>
          <w:sz w:val="21"/>
        </w:rPr>
        <w:t>本文不把多智能体分工、错误归因、技能生命周期、负迁移控制和统计门控分别列为独立创新。核心创新只有DEMSE：利用域级元情景把技能生成和技能选择分置于内外两层，使SkillBank的更新依据从已见域拟合收益转变为伪未知域迁移收益。多智能体链路提供可分解轨迹，错误归因确定内层搜索方向，生命周期操作构成离散技能搜索空间，负迁移控制和统计门控定义外层状态转移；这些组件共同实现同一个跨域元学习目标。</w:t>
      </w:r>
    </w:p>
    <w:p>
      <w:pPr>
        <w:pStyle w:val="Heading2"/>
        <w:keepNext/>
        <w:spacing w:before="100" w:after="80"/>
        <w:ind w:firstLine="0"/>
      </w:pPr>
      <w:r>
        <w:rPr>
          <w:rFonts w:ascii="Times New Roman" w:hAnsi="Times New Roman" w:eastAsia="黑体"/>
          <w:b/>
          <w:i w:val="0"/>
          <w:color w:val="000000"/>
          <w:sz w:val="21"/>
        </w:rPr>
        <w:t>8.2 与参数级元学习的区别</w:t>
      </w:r>
    </w:p>
    <w:p>
      <w:pPr>
        <w:keepNext w:val="0"/>
        <w:spacing w:before="0" w:after="60" w:lineRule="auto" w:line="293"/>
        <w:ind w:firstLine="420"/>
        <w:jc w:val="both"/>
      </w:pPr>
      <w:r>
        <w:rPr>
          <w:rFonts w:ascii="Times New Roman" w:hAnsi="Times New Roman" w:eastAsia="宋体"/>
          <w:b w:val="0"/>
          <w:i w:val="0"/>
          <w:color w:val="000000"/>
          <w:sz w:val="21"/>
        </w:rPr>
        <w:t>MetaAdapt、DITFEND和GCML均通过元梯度、任务权重或模型参数更新学习跨域适应能力[26-28]。DEMSE不声称首次将元学习用于假新闻检测，其差异在于学习对象和反馈路径：底层语言模型完全冻结，内层更新的是可读、可检索和可回滚的SkillBank，外层使用完整元测试域控制技能的晋升、特化和淘汰。由此产生的每次更新都可以定位到具体技能和领域效用，而不是隐藏在网络参数变化中。</w:t>
      </w:r>
    </w:p>
    <w:p>
      <w:pPr>
        <w:pStyle w:val="Heading2"/>
        <w:keepNext/>
        <w:spacing w:before="100" w:after="80"/>
        <w:ind w:firstLine="0"/>
      </w:pPr>
      <w:r>
        <w:rPr>
          <w:rFonts w:ascii="Times New Roman" w:hAnsi="Times New Roman" w:eastAsia="黑体"/>
          <w:b/>
          <w:i w:val="0"/>
          <w:color w:val="000000"/>
          <w:sz w:val="21"/>
        </w:rPr>
        <w:t>8.3 与一般技能自进化的区别</w:t>
      </w:r>
    </w:p>
    <w:p>
      <w:pPr>
        <w:keepNext w:val="0"/>
        <w:spacing w:before="0" w:after="60" w:lineRule="auto" w:line="293"/>
        <w:ind w:firstLine="420"/>
        <w:jc w:val="both"/>
      </w:pPr>
      <w:r>
        <w:rPr>
          <w:rFonts w:ascii="Times New Roman" w:hAnsi="Times New Roman" w:eastAsia="宋体"/>
          <w:b w:val="0"/>
          <w:i w:val="0"/>
          <w:color w:val="000000"/>
          <w:sz w:val="21"/>
        </w:rPr>
        <w:t>一般技能自进化通常依据同分布任务成功率或代理验证器选择候选，容易把当前任务上的提高当作可泛化能力。DEMSE要求候选在未参与生成的完整领域上获得收益，并跨多个域情景聚合结果；最终测试域进一步独立冻结。因此，域外层元门控既是防止跨域负迁移的可靠性约束，也是使技能库主动学习领域不变核验规律的方法本体。</w:t>
      </w:r>
    </w:p>
    <w:p>
      <w:pPr>
        <w:pStyle w:val="Heading2"/>
        <w:keepNext/>
        <w:spacing w:before="100" w:after="80"/>
        <w:ind w:firstLine="0"/>
      </w:pPr>
      <w:r>
        <w:rPr>
          <w:rFonts w:ascii="Times New Roman" w:hAnsi="Times New Roman" w:eastAsia="黑体"/>
          <w:b/>
          <w:i w:val="0"/>
          <w:color w:val="000000"/>
          <w:sz w:val="21"/>
        </w:rPr>
        <w:t>8.4 研究边界与潜在威胁</w:t>
      </w:r>
    </w:p>
    <w:p>
      <w:pPr>
        <w:keepNext w:val="0"/>
        <w:spacing w:before="0" w:after="60" w:lineRule="auto" w:line="293"/>
        <w:ind w:firstLine="420"/>
        <w:jc w:val="both"/>
      </w:pPr>
      <w:r>
        <w:rPr>
          <w:rFonts w:ascii="Times New Roman" w:hAnsi="Times New Roman" w:eastAsia="宋体"/>
          <w:b w:val="0"/>
          <w:i w:val="0"/>
          <w:color w:val="000000"/>
          <w:sz w:val="21"/>
        </w:rPr>
        <w:t>第一，当前系统是文本单模态框架，尽管Weibo21包含图像，原型尚未实现视觉取证、OCR或图文一致性专家。第二，规则归因在复杂错误链中可能把相关性误判为责任，留一技能重放也可能忽略技能交互。第三，AST拒绝列表只能作为静态防线，不能代替操作系统级沙箱。第四，模型服务的版本变化可能破坏长期复现，需要保存服务日期并进行重复评估。第五，技能库持续增长会增加检索混淆和验证成本，需要研究容量预算与自动合并。第六，当前离线微型实验不能支撑检测性能或优越性结论。</w:t>
      </w:r>
    </w:p>
    <w:p>
      <w:pPr>
        <w:pStyle w:val="Heading1"/>
        <w:keepNext/>
        <w:spacing w:before="160" w:after="80"/>
        <w:ind w:firstLine="0"/>
      </w:pPr>
      <w:r>
        <w:rPr>
          <w:rFonts w:ascii="Times New Roman" w:hAnsi="Times New Roman" w:eastAsia="黑体"/>
          <w:b/>
          <w:i w:val="0"/>
          <w:color w:val="000000"/>
          <w:sz w:val="28"/>
        </w:rPr>
        <w:t>9 可改进方向</w:t>
      </w:r>
    </w:p>
    <w:p>
      <w:pPr>
        <w:keepNext w:val="0"/>
        <w:spacing w:before="0" w:after="60" w:lineRule="auto" w:line="293"/>
        <w:jc w:val="both"/>
      </w:pPr>
      <w:r>
        <w:rPr>
          <w:rFonts w:ascii="Times New Roman" w:hAnsi="Times New Roman" w:eastAsia="宋体"/>
          <w:b w:val="0"/>
          <w:i w:val="0"/>
          <w:color w:val="000000"/>
          <w:sz w:val="21"/>
        </w:rPr>
        <w:t>为了达到《计算机学报》研究论文的证据强度，建议按以下优先级推进。</w:t>
      </w:r>
    </w:p>
    <w:p>
      <w:pPr>
        <w:pStyle w:val="ListBullet"/>
        <w:spacing w:after="40" w:line="288" w:lineRule="auto"/>
        <w:ind w:left="420" w:hanging="210"/>
      </w:pPr>
      <w:r>
        <w:rPr>
          <w:rFonts w:ascii="Times New Roman" w:hAnsi="Times New Roman" w:eastAsia="宋体"/>
          <w:b w:val="0"/>
          <w:i w:val="0"/>
          <w:color w:val="000000"/>
          <w:sz w:val="21"/>
        </w:rPr>
        <w:t>首先实现域情景采样、跨情景效用聚合和外层元门控，并完成留一域、重复域划分和最终未知域测试。没有这些实验，DEMSE只能作为方法设计，尚不足以证明跨域有效性。</w:t>
      </w:r>
    </w:p>
    <w:p>
      <w:pPr>
        <w:pStyle w:val="ListBullet"/>
        <w:spacing w:after="40" w:line="288" w:lineRule="auto"/>
        <w:ind w:left="420" w:hanging="210"/>
      </w:pPr>
      <w:r>
        <w:rPr>
          <w:rFonts w:ascii="Times New Roman" w:hAnsi="Times New Roman" w:eastAsia="宋体"/>
          <w:b w:val="0"/>
          <w:i w:val="0"/>
          <w:color w:val="000000"/>
          <w:sz w:val="21"/>
        </w:rPr>
        <w:t>将规则归因升级为因果近似的组件贡献估计，加入成对技能交互重放、Shapley近似和归因置信度校准，并比较有无归因指导时的候选通过率。</w:t>
      </w:r>
    </w:p>
    <w:p>
      <w:pPr>
        <w:pStyle w:val="ListBullet"/>
        <w:spacing w:after="40" w:line="288" w:lineRule="auto"/>
        <w:ind w:left="420" w:hanging="210"/>
      </w:pPr>
      <w:r>
        <w:rPr>
          <w:rFonts w:ascii="Times New Roman" w:hAnsi="Times New Roman" w:eastAsia="宋体"/>
          <w:b w:val="0"/>
          <w:i w:val="0"/>
          <w:color w:val="000000"/>
          <w:sz w:val="21"/>
        </w:rPr>
        <w:t>为候选生成增加技能去重和结构质量评估，量化技能覆盖、相互冲突、路由熵、调用冗余和库规模，防止SkillBank无界增长。</w:t>
      </w:r>
    </w:p>
    <w:p>
      <w:pPr>
        <w:pStyle w:val="ListBullet"/>
        <w:spacing w:after="40" w:line="288" w:lineRule="auto"/>
        <w:ind w:left="420" w:hanging="210"/>
      </w:pPr>
      <w:r>
        <w:rPr>
          <w:rFonts w:ascii="Times New Roman" w:hAnsi="Times New Roman" w:eastAsia="宋体"/>
          <w:b w:val="0"/>
          <w:i w:val="0"/>
          <w:color w:val="000000"/>
          <w:sz w:val="21"/>
        </w:rPr>
        <w:t>增加外部证据检索与来源信誉数据库，在时间截止条件下评估证据召回、证据精确率和结论忠实性，避免仅以最终标签评价解释。</w:t>
      </w:r>
    </w:p>
    <w:p>
      <w:pPr>
        <w:pStyle w:val="ListBullet"/>
        <w:spacing w:after="40" w:line="288" w:lineRule="auto"/>
        <w:ind w:left="420" w:hanging="210"/>
      </w:pPr>
      <w:r>
        <w:rPr>
          <w:rFonts w:ascii="Times New Roman" w:hAnsi="Times New Roman" w:eastAsia="宋体"/>
          <w:b w:val="0"/>
          <w:i w:val="0"/>
          <w:color w:val="000000"/>
          <w:sz w:val="21"/>
        </w:rPr>
        <w:t>扩展多模态技能，包括视觉取证、OCR声明抽取、图文语义一致性、视觉实体核验、反向图片证据与视频关键帧一致性，并保持各模态证据的时间边界。</w:t>
      </w:r>
    </w:p>
    <w:p>
      <w:pPr>
        <w:pStyle w:val="ListBullet"/>
        <w:spacing w:after="40" w:line="288" w:lineRule="auto"/>
        <w:ind w:left="420" w:hanging="210"/>
      </w:pPr>
      <w:r>
        <w:rPr>
          <w:rFonts w:ascii="Times New Roman" w:hAnsi="Times New Roman" w:eastAsia="宋体"/>
          <w:b w:val="0"/>
          <w:i w:val="0"/>
          <w:color w:val="000000"/>
          <w:sz w:val="21"/>
        </w:rPr>
        <w:t>开展人工评测，评价专家报告的可理解性、引用证据的可核查性、错误解释是否帮助用户，以及高置信错误对使用者的误导风险。</w:t>
      </w:r>
    </w:p>
    <w:p>
      <w:pPr>
        <w:pStyle w:val="Heading1"/>
        <w:keepNext/>
        <w:spacing w:before="160" w:after="80"/>
        <w:ind w:firstLine="0"/>
      </w:pPr>
      <w:r>
        <w:rPr>
          <w:rFonts w:ascii="Times New Roman" w:hAnsi="Times New Roman" w:eastAsia="黑体"/>
          <w:b/>
          <w:i w:val="0"/>
          <w:color w:val="000000"/>
          <w:sz w:val="28"/>
        </w:rPr>
        <w:t>10 结论</w:t>
      </w:r>
    </w:p>
    <w:p>
      <w:pPr>
        <w:keepNext w:val="0"/>
        <w:spacing w:before="0" w:after="60" w:lineRule="auto" w:line="293"/>
        <w:ind w:firstLine="420"/>
        <w:jc w:val="both"/>
      </w:pPr>
      <w:r>
        <w:rPr>
          <w:rFonts w:ascii="Times New Roman" w:hAnsi="Times New Roman" w:eastAsia="宋体"/>
          <w:b w:val="0"/>
          <w:i w:val="0"/>
          <w:color w:val="000000"/>
          <w:sz w:val="21"/>
        </w:rPr>
        <w:t>本文提出EvoFactSkill及其统一核心方法DEMSE。DEMSE在元训练域上通过前向核验、错误归因和经验蒸馏产生候选SkillBank，在未参与候选生成的元测试域上计算迁移效用并控制技能生命周期更新，从而把技能优化目标从已见域拟合转变为伪未知域泛化。多智能体轨迹、八类生命周期操作、负迁移处置、统计门控和版本回滚不是彼此分散的创新，而是域内层学习与域外层更新的连续组成。该方法冻结底层语言模型，并将最终测试域与全部元情景隔离，使跨域能力变化能够归因于可解释技能的进化。当前原型已经验证基础技能闭环与关键安全不变量；下一步需要完成DEMSE实现和真实数据集留一域实验，才能形成正式的跨域性能结论。</w:t>
      </w:r>
    </w:p>
    <w:p>
      <w:pPr>
        <w:pStyle w:val="Heading1"/>
        <w:keepNext/>
        <w:spacing w:before="160" w:after="80"/>
        <w:ind w:firstLine="0"/>
      </w:pPr>
      <w:r>
        <w:rPr>
          <w:rFonts w:ascii="Times New Roman" w:hAnsi="Times New Roman" w:eastAsia="黑体"/>
          <w:b/>
          <w:i w:val="0"/>
          <w:color w:val="000000"/>
          <w:sz w:val="28"/>
        </w:rPr>
        <w:t>参考文献</w:t>
      </w:r>
    </w:p>
    <w:p>
      <w:pPr>
        <w:spacing w:after="20" w:line="252" w:lineRule="auto"/>
        <w:ind w:left="351" w:hanging="351"/>
      </w:pPr>
      <w:r>
        <w:rPr>
          <w:rFonts w:ascii="Times New Roman" w:hAnsi="Times New Roman" w:eastAsia="宋体"/>
          <w:b w:val="0"/>
          <w:i w:val="0"/>
          <w:color w:val="000000"/>
          <w:sz w:val="17"/>
        </w:rPr>
        <w:t>[1] Zhou X, Zafarani R. A survey of fake news: Fundamental theories, detection methods, and opportunities. ACM Computing Surveys, 2020, 53(5): 1-40.</w:t>
      </w:r>
    </w:p>
    <w:p>
      <w:pPr>
        <w:spacing w:after="20" w:line="252" w:lineRule="auto"/>
        <w:ind w:left="351" w:hanging="351"/>
      </w:pPr>
      <w:r>
        <w:rPr>
          <w:rFonts w:ascii="Times New Roman" w:hAnsi="Times New Roman" w:eastAsia="宋体"/>
          <w:b w:val="0"/>
          <w:i w:val="0"/>
          <w:color w:val="000000"/>
          <w:sz w:val="17"/>
        </w:rPr>
        <w:t>[2] Shu K, Mahudeswaran D, Wang S, et al. FakeNewsNet: A data repository with news content, social context, and spatiotemporal information for studying fake news on social media. Big Data, 2020, 8(3): 171-188.</w:t>
      </w:r>
    </w:p>
    <w:p>
      <w:pPr>
        <w:spacing w:after="20" w:line="252" w:lineRule="auto"/>
        <w:ind w:left="351" w:hanging="351"/>
      </w:pPr>
      <w:r>
        <w:rPr>
          <w:rFonts w:ascii="Times New Roman" w:hAnsi="Times New Roman" w:eastAsia="宋体"/>
          <w:b w:val="0"/>
          <w:i w:val="0"/>
          <w:color w:val="000000"/>
          <w:sz w:val="17"/>
        </w:rPr>
        <w:t>[3] Nan Q, Cao J, Zhu Y, et al. MDFEND: Multi-domain fake news detection. Proceedings of the 30th ACM International Conference on Information and Knowledge Management. 2021: 3343-3347.</w:t>
      </w:r>
    </w:p>
    <w:p>
      <w:pPr>
        <w:spacing w:after="20" w:line="252" w:lineRule="auto"/>
        <w:ind w:left="351" w:hanging="351"/>
      </w:pPr>
      <w:r>
        <w:rPr>
          <w:rFonts w:ascii="Times New Roman" w:hAnsi="Times New Roman" w:eastAsia="宋体"/>
          <w:b w:val="0"/>
          <w:i w:val="0"/>
          <w:color w:val="000000"/>
          <w:sz w:val="17"/>
        </w:rPr>
        <w:t>[4] Ma X, Zhang Y, Ding K, et al. On fake news detection with LLM enhanced semantics mining. Proceedings of EMNLP. 2024: 508-521.</w:t>
      </w:r>
    </w:p>
    <w:p>
      <w:pPr>
        <w:spacing w:after="20" w:line="252" w:lineRule="auto"/>
        <w:ind w:left="351" w:hanging="351"/>
      </w:pPr>
      <w:r>
        <w:rPr>
          <w:rFonts w:ascii="Times New Roman" w:hAnsi="Times New Roman" w:eastAsia="宋体"/>
          <w:b w:val="0"/>
          <w:i w:val="0"/>
          <w:color w:val="000000"/>
          <w:sz w:val="17"/>
        </w:rPr>
        <w:t>[5] Wan H, Feng S, Tan Z, et al. DELL: Generating reactions and explanations for LLM-based misinformation detection. Findings of ACL. 2024: 2637-2667.</w:t>
      </w:r>
    </w:p>
    <w:p>
      <w:pPr>
        <w:spacing w:after="20" w:line="252" w:lineRule="auto"/>
        <w:ind w:left="351" w:hanging="351"/>
      </w:pPr>
      <w:r>
        <w:rPr>
          <w:rFonts w:ascii="Times New Roman" w:hAnsi="Times New Roman" w:eastAsia="宋体"/>
          <w:b w:val="0"/>
          <w:i w:val="0"/>
          <w:color w:val="000000"/>
          <w:sz w:val="17"/>
        </w:rPr>
        <w:t>[6] Liu H, Wang W, Li H, et al. TELLER: A trustworthy framework for explainable, generalizable and controllable fake news detection. Findings of ACL. 2024: 15556-15583.</w:t>
      </w:r>
    </w:p>
    <w:p>
      <w:pPr>
        <w:spacing w:after="20" w:line="252" w:lineRule="auto"/>
        <w:ind w:left="351" w:hanging="351"/>
      </w:pPr>
      <w:r>
        <w:rPr>
          <w:rFonts w:ascii="Times New Roman" w:hAnsi="Times New Roman" w:eastAsia="宋体"/>
          <w:b w:val="0"/>
          <w:i w:val="0"/>
          <w:color w:val="000000"/>
          <w:sz w:val="17"/>
        </w:rPr>
        <w:t>[7] Yang Y, Zhou Y, Ying Q, et al. Search, examine and early-termination: Fake news detection with annotation-free evidences. Proceedings of ECAI. 2024: 1463-1470.</w:t>
      </w:r>
    </w:p>
    <w:p>
      <w:pPr>
        <w:spacing w:after="20" w:line="252" w:lineRule="auto"/>
        <w:ind w:left="351" w:hanging="351"/>
      </w:pPr>
      <w:r>
        <w:rPr>
          <w:rFonts w:ascii="Times New Roman" w:hAnsi="Times New Roman" w:eastAsia="宋体"/>
          <w:b w:val="0"/>
          <w:i w:val="0"/>
          <w:color w:val="000000"/>
          <w:sz w:val="17"/>
        </w:rPr>
        <w:t>[8] Allein L, Augenstein I, Moens M F. Time-aware evidence ranking for fact-checking. Journal of Web Semantics, 2021, 71: 100663.</w:t>
      </w:r>
    </w:p>
    <w:p>
      <w:pPr>
        <w:spacing w:after="20" w:line="252" w:lineRule="auto"/>
        <w:ind w:left="351" w:hanging="351"/>
      </w:pPr>
      <w:r>
        <w:rPr>
          <w:rFonts w:ascii="Times New Roman" w:hAnsi="Times New Roman" w:eastAsia="宋体"/>
          <w:b w:val="0"/>
          <w:i w:val="0"/>
          <w:color w:val="000000"/>
          <w:sz w:val="17"/>
        </w:rPr>
        <w:t>[9] Allein L, Saelens M, Cartuyvels R, et al. Implicit temporal reasoning for evidence-based fact-checking. Proceedings of EACL. 2023.</w:t>
      </w:r>
    </w:p>
    <w:p>
      <w:pPr>
        <w:spacing w:after="20" w:line="252" w:lineRule="auto"/>
        <w:ind w:left="351" w:hanging="351"/>
      </w:pPr>
      <w:r>
        <w:rPr>
          <w:rFonts w:ascii="Times New Roman" w:hAnsi="Times New Roman" w:eastAsia="宋体"/>
          <w:b w:val="0"/>
          <w:i w:val="0"/>
          <w:color w:val="000000"/>
          <w:sz w:val="17"/>
        </w:rPr>
        <w:t>[10] Xu C, Jin C, Niu Y, et al. LiveFact: A dynamic, time-aware benchmark for LLM-driven fake news detection. Proceedings of ACL. 2026: 11881-11910.</w:t>
      </w:r>
    </w:p>
    <w:p>
      <w:pPr>
        <w:spacing w:after="20" w:line="252" w:lineRule="auto"/>
        <w:ind w:left="351" w:hanging="351"/>
      </w:pPr>
      <w:r>
        <w:rPr>
          <w:rFonts w:ascii="Times New Roman" w:hAnsi="Times New Roman" w:eastAsia="宋体"/>
          <w:b w:val="0"/>
          <w:i w:val="0"/>
          <w:color w:val="000000"/>
          <w:sz w:val="17"/>
        </w:rPr>
        <w:t>[11] Shinn N, Cassano F, Berman E, et al. Reflexion: Language agents with verbal reinforcement learning. Advances in Neural Information Processing Systems, 2023, 36.</w:t>
      </w:r>
    </w:p>
    <w:p>
      <w:pPr>
        <w:spacing w:after="20" w:line="252" w:lineRule="auto"/>
        <w:ind w:left="351" w:hanging="351"/>
      </w:pPr>
      <w:r>
        <w:rPr>
          <w:rFonts w:ascii="Times New Roman" w:hAnsi="Times New Roman" w:eastAsia="宋体"/>
          <w:b w:val="0"/>
          <w:i w:val="0"/>
          <w:color w:val="000000"/>
          <w:sz w:val="17"/>
        </w:rPr>
        <w:t>[12] Madaan A, Tandon N, Gupta P, et al. Self-Refine: Iterative refinement with self-feedback. Advances in Neural Information Processing Systems, 2023, 36.</w:t>
      </w:r>
    </w:p>
    <w:p>
      <w:pPr>
        <w:spacing w:after="20" w:line="252" w:lineRule="auto"/>
        <w:ind w:left="351" w:hanging="351"/>
      </w:pPr>
      <w:r>
        <w:rPr>
          <w:rFonts w:ascii="Times New Roman" w:hAnsi="Times New Roman" w:eastAsia="宋体"/>
          <w:b w:val="0"/>
          <w:i w:val="0"/>
          <w:color w:val="000000"/>
          <w:sz w:val="17"/>
        </w:rPr>
        <w:t>[13] Wang G, Xie Y, Jiang Y, et al. Voyager: An open-ended embodied agent with large language models. Transactions on Machine Learning Research, 2024.</w:t>
      </w:r>
    </w:p>
    <w:p>
      <w:pPr>
        <w:spacing w:after="20" w:line="252" w:lineRule="auto"/>
        <w:ind w:left="351" w:hanging="351"/>
      </w:pPr>
      <w:r>
        <w:rPr>
          <w:rFonts w:ascii="Times New Roman" w:hAnsi="Times New Roman" w:eastAsia="宋体"/>
          <w:b w:val="0"/>
          <w:i w:val="0"/>
          <w:color w:val="000000"/>
          <w:sz w:val="17"/>
        </w:rPr>
        <w:t>[14] Wang Z Z, Mao J, Fried D, et al. Agent workflow memory. arXiv:2409.07429, 2024.</w:t>
      </w:r>
    </w:p>
    <w:p>
      <w:pPr>
        <w:spacing w:after="20" w:line="252" w:lineRule="auto"/>
        <w:ind w:left="351" w:hanging="351"/>
      </w:pPr>
      <w:r>
        <w:rPr>
          <w:rFonts w:ascii="Times New Roman" w:hAnsi="Times New Roman" w:eastAsia="宋体"/>
          <w:b w:val="0"/>
          <w:i w:val="0"/>
          <w:color w:val="000000"/>
          <w:sz w:val="17"/>
        </w:rPr>
        <w:t>[15] Xia P, Chen J, Wang H, et al. SkillRL: Evolving agents via recursive skill-augmented reinforcement learning. arXiv:2602.08234, 2026.</w:t>
      </w:r>
    </w:p>
    <w:p>
      <w:pPr>
        <w:spacing w:after="20" w:line="252" w:lineRule="auto"/>
        <w:ind w:left="351" w:hanging="351"/>
      </w:pPr>
      <w:r>
        <w:rPr>
          <w:rFonts w:ascii="Times New Roman" w:hAnsi="Times New Roman" w:eastAsia="宋体"/>
          <w:b w:val="0"/>
          <w:i w:val="0"/>
          <w:color w:val="000000"/>
          <w:sz w:val="17"/>
        </w:rPr>
        <w:t>[16] Zhang H, Fan S, Zou H P, et al. EvoSkills: Self-evolving agent skills via co-evolutionary verification. arXiv:2604.01687, 2026.</w:t>
      </w:r>
    </w:p>
    <w:p>
      <w:pPr>
        <w:spacing w:after="20" w:line="252" w:lineRule="auto"/>
        <w:ind w:left="351" w:hanging="351"/>
      </w:pPr>
      <w:r>
        <w:rPr>
          <w:rFonts w:ascii="Times New Roman" w:hAnsi="Times New Roman" w:eastAsia="宋体"/>
          <w:b w:val="0"/>
          <w:i w:val="0"/>
          <w:color w:val="000000"/>
          <w:sz w:val="17"/>
        </w:rPr>
        <w:t>[17] Chen S, Huang Y, Dhingra B. Real-time fake news from adversarial feedback. arXiv:2410.14651, 2024.</w:t>
      </w:r>
    </w:p>
    <w:p>
      <w:pPr>
        <w:spacing w:after="20" w:line="252" w:lineRule="auto"/>
        <w:ind w:left="351" w:hanging="351"/>
      </w:pPr>
      <w:r>
        <w:rPr>
          <w:rFonts w:ascii="Times New Roman" w:hAnsi="Times New Roman" w:eastAsia="宋体"/>
          <w:b w:val="0"/>
          <w:i w:val="0"/>
          <w:color w:val="000000"/>
          <w:sz w:val="17"/>
        </w:rPr>
        <w:t>[18] Glockner M, Hou Y, Mayr P, et al. A guide to misinformation detection data and evaluation. Proceedings of the 31st ACM SIGKDD Conference on Knowledge Discovery and Data Mining. 2025.</w:t>
      </w:r>
    </w:p>
    <w:p>
      <w:pPr>
        <w:spacing w:after="20" w:line="252" w:lineRule="auto"/>
        <w:ind w:left="351" w:hanging="351"/>
      </w:pPr>
      <w:r>
        <w:rPr>
          <w:rFonts w:ascii="Times New Roman" w:hAnsi="Times New Roman" w:eastAsia="宋体"/>
          <w:b w:val="0"/>
          <w:i w:val="0"/>
          <w:color w:val="000000"/>
          <w:sz w:val="17"/>
        </w:rPr>
        <w:t>[19] Su J, Cardie C, Nakov P. Adapting fake news detection to the era of large language models. Findings of NAACL. 2024: 1473-1490.</w:t>
      </w:r>
    </w:p>
    <w:p>
      <w:pPr>
        <w:spacing w:after="20" w:line="252" w:lineRule="auto"/>
        <w:ind w:left="351" w:hanging="351"/>
      </w:pPr>
      <w:r>
        <w:rPr>
          <w:rFonts w:ascii="Times New Roman" w:hAnsi="Times New Roman" w:eastAsia="宋体"/>
          <w:b w:val="0"/>
          <w:i w:val="0"/>
          <w:color w:val="000000"/>
          <w:sz w:val="17"/>
        </w:rPr>
        <w:t>[20] Guan J, Dodge J, Wadden D, et al. Language models hallucinate, but may excel at fact verification. Proceedings of NAACL. 2024: 1090-1111.</w:t>
      </w:r>
    </w:p>
    <w:p>
      <w:pPr>
        <w:spacing w:after="20" w:line="252" w:lineRule="auto"/>
        <w:ind w:left="351" w:hanging="351"/>
      </w:pPr>
      <w:r>
        <w:rPr>
          <w:rFonts w:ascii="Times New Roman" w:hAnsi="Times New Roman" w:eastAsia="宋体"/>
          <w:b w:val="0"/>
          <w:i w:val="0"/>
          <w:color w:val="000000"/>
          <w:sz w:val="17"/>
        </w:rPr>
        <w:t>[21] Geifman Y, El-Yaniv R. SelectiveNet: A deep neural network with an integrated reject option. Proceedings of ICML. 2019: 2151-2159.</w:t>
      </w:r>
    </w:p>
    <w:p>
      <w:pPr>
        <w:spacing w:after="20" w:line="252" w:lineRule="auto"/>
        <w:ind w:left="351" w:hanging="351"/>
      </w:pPr>
      <w:r>
        <w:rPr>
          <w:rFonts w:ascii="Times New Roman" w:hAnsi="Times New Roman" w:eastAsia="宋体"/>
          <w:b w:val="0"/>
          <w:i w:val="0"/>
          <w:color w:val="000000"/>
          <w:sz w:val="17"/>
        </w:rPr>
        <w:t>[22] Guo C, Pleiss G, Sun Y, et al. On calibration of modern neural networks. Proceedings of ICML. 2017: 1321-1330.</w:t>
      </w:r>
    </w:p>
    <w:p>
      <w:pPr>
        <w:spacing w:after="20" w:line="252" w:lineRule="auto"/>
        <w:ind w:left="351" w:hanging="351"/>
      </w:pPr>
      <w:r>
        <w:rPr>
          <w:rFonts w:ascii="Times New Roman" w:hAnsi="Times New Roman" w:eastAsia="宋体"/>
          <w:b w:val="0"/>
          <w:i w:val="0"/>
          <w:color w:val="000000"/>
          <w:sz w:val="17"/>
        </w:rPr>
        <w:t>[23] Efron B, Tibshirani R J. An introduction to the bootstrap. New York: Chapman and Hall, 1993.</w:t>
      </w:r>
    </w:p>
    <w:p>
      <w:pPr>
        <w:spacing w:after="20" w:line="252" w:lineRule="auto"/>
        <w:ind w:left="351" w:hanging="351"/>
      </w:pPr>
      <w:r>
        <w:rPr>
          <w:rFonts w:ascii="Times New Roman" w:hAnsi="Times New Roman" w:eastAsia="宋体"/>
          <w:b w:val="0"/>
          <w:i w:val="0"/>
          <w:color w:val="000000"/>
          <w:sz w:val="17"/>
        </w:rPr>
        <w:t>[24] McNemar Q. Note on the sampling error of the difference between correlated proportions or percentages. Psychometrika, 1947, 12(2): 153-157.</w:t>
      </w:r>
    </w:p>
    <w:p>
      <w:pPr>
        <w:spacing w:after="20" w:line="252" w:lineRule="auto"/>
        <w:ind w:left="351" w:hanging="351"/>
      </w:pPr>
      <w:r>
        <w:rPr>
          <w:rFonts w:ascii="Times New Roman" w:hAnsi="Times New Roman" w:eastAsia="宋体"/>
          <w:b w:val="0"/>
          <w:i w:val="0"/>
          <w:color w:val="000000"/>
          <w:sz w:val="17"/>
        </w:rPr>
        <w:t>[25] Deb K, Pratap A, Agarwal S, et al. A fast and elitist multiobjective genetic algorithm: NSGA-II. IEEE Transactions on Evolutionary Computation, 2002, 6(2): 182-197.</w:t>
      </w:r>
    </w:p>
    <w:p>
      <w:pPr>
        <w:spacing w:after="20" w:line="252" w:lineRule="auto"/>
        <w:ind w:left="351" w:hanging="351"/>
      </w:pPr>
      <w:r>
        <w:rPr>
          <w:rFonts w:ascii="Times New Roman" w:hAnsi="Times New Roman" w:eastAsia="宋体"/>
          <w:b w:val="0"/>
          <w:i w:val="0"/>
          <w:color w:val="000000"/>
          <w:sz w:val="17"/>
        </w:rPr>
        <w:t>[26] Yue Z, Zeng H, Zhang Y, et al. MetaAdapt: Domain adaptive few-shot misinformation detection via meta learning. Proceedings of ACL. 2023: 5223-5239.</w:t>
      </w:r>
    </w:p>
    <w:p>
      <w:pPr>
        <w:spacing w:after="20" w:line="252" w:lineRule="auto"/>
        <w:ind w:left="351" w:hanging="351"/>
      </w:pPr>
      <w:r>
        <w:rPr>
          <w:rFonts w:ascii="Times New Roman" w:hAnsi="Times New Roman" w:eastAsia="宋体"/>
          <w:b w:val="0"/>
          <w:i w:val="0"/>
          <w:color w:val="000000"/>
          <w:sz w:val="17"/>
        </w:rPr>
        <w:t>[27] Nan Q, Wang D, Zhu Y, et al. Improving fake news detection of influential domain via domain- and instance-level transfer. Proceedings of COLING. 2022: 2834-2848.</w:t>
      </w:r>
    </w:p>
    <w:p>
      <w:pPr>
        <w:spacing w:after="20" w:line="252" w:lineRule="auto"/>
        <w:ind w:left="351" w:hanging="351"/>
      </w:pPr>
      <w:r>
        <w:rPr>
          <w:rFonts w:ascii="Times New Roman" w:hAnsi="Times New Roman" w:eastAsia="宋体"/>
          <w:b w:val="0"/>
          <w:i w:val="0"/>
          <w:color w:val="000000"/>
          <w:sz w:val="17"/>
        </w:rPr>
        <w:t>[28] He Z, Huang J, Lu M, et al. GCML: Gradient coherence guided meta-learning for cross-domain emerging topic rumor detection. Proceedings of EMNLP. 2025: 19148-19162.</w:t>
      </w:r>
    </w:p>
    <w:p>
      <w:pPr>
        <w:pStyle w:val="Heading1"/>
        <w:keepNext/>
        <w:spacing w:before="160" w:after="80"/>
        <w:ind w:firstLine="0"/>
      </w:pPr>
      <w:r>
        <w:rPr>
          <w:rFonts w:ascii="Times New Roman" w:hAnsi="Times New Roman" w:eastAsia="黑体"/>
          <w:b/>
          <w:i w:val="0"/>
          <w:color w:val="000000"/>
          <w:sz w:val="28"/>
        </w:rPr>
        <w:t>附录A  投稿前实验补全清单</w:t>
      </w:r>
    </w:p>
    <w:p>
      <w:pPr>
        <w:pStyle w:val="ListBullet"/>
        <w:spacing w:after="40" w:line="288" w:lineRule="auto"/>
        <w:ind w:left="420" w:hanging="210"/>
      </w:pPr>
      <w:r>
        <w:rPr>
          <w:rFonts w:ascii="Times New Roman" w:hAnsi="Times New Roman" w:eastAsia="宋体"/>
          <w:b w:val="0"/>
          <w:i w:val="0"/>
          <w:color w:val="000000"/>
          <w:sz w:val="21"/>
        </w:rPr>
        <w:t>填入真实作者、单位、基金、通信作者和联系方式，并依据官方最新Word模板迁移最终版式。</w:t>
      </w:r>
    </w:p>
    <w:p>
      <w:pPr>
        <w:pStyle w:val="ListBullet"/>
        <w:spacing w:after="40" w:line="288" w:lineRule="auto"/>
        <w:ind w:left="420" w:hanging="210"/>
      </w:pPr>
      <w:r>
        <w:rPr>
          <w:rFonts w:ascii="Times New Roman" w:hAnsi="Times New Roman" w:eastAsia="宋体"/>
          <w:b w:val="0"/>
          <w:i w:val="0"/>
          <w:color w:val="000000"/>
          <w:sz w:val="21"/>
        </w:rPr>
        <w:t>锁定四个数据集的确切版本、许可证、标签映射和样本统计，发布或归档不可变manifest。</w:t>
      </w:r>
    </w:p>
    <w:p>
      <w:pPr>
        <w:pStyle w:val="ListBullet"/>
        <w:spacing w:after="40" w:line="288" w:lineRule="auto"/>
        <w:ind w:left="420" w:hanging="210"/>
      </w:pPr>
      <w:r>
        <w:rPr>
          <w:rFonts w:ascii="Times New Roman" w:hAnsi="Times New Roman" w:eastAsia="宋体"/>
          <w:b w:val="0"/>
          <w:i w:val="0"/>
          <w:color w:val="000000"/>
          <w:sz w:val="21"/>
        </w:rPr>
        <w:t>运行八个核心实验臂、至少三个随机种子和多个域情景，报告均值、标准差、95%置信区间及逐样本配对检验。</w:t>
      </w:r>
    </w:p>
    <w:p>
      <w:pPr>
        <w:pStyle w:val="ListBullet"/>
        <w:spacing w:after="40" w:line="288" w:lineRule="auto"/>
        <w:ind w:left="420" w:hanging="210"/>
      </w:pPr>
      <w:r>
        <w:rPr>
          <w:rFonts w:ascii="Times New Roman" w:hAnsi="Times New Roman" w:eastAsia="宋体"/>
          <w:b w:val="0"/>
          <w:i w:val="0"/>
          <w:color w:val="000000"/>
          <w:sz w:val="21"/>
        </w:rPr>
        <w:t>补充真实模型、温度、上下文长度、检索器、硬件、并发、调用成本和平均延迟。</w:t>
      </w:r>
    </w:p>
    <w:p>
      <w:pPr>
        <w:pStyle w:val="ListBullet"/>
        <w:spacing w:after="40" w:line="288" w:lineRule="auto"/>
        <w:ind w:left="420" w:hanging="210"/>
      </w:pPr>
      <w:r>
        <w:rPr>
          <w:rFonts w:ascii="Times New Roman" w:hAnsi="Times New Roman" w:eastAsia="宋体"/>
          <w:b w:val="0"/>
          <w:i w:val="0"/>
          <w:color w:val="000000"/>
          <w:sz w:val="21"/>
        </w:rPr>
        <w:t>加入逐域、逐时间窗、对抗鲁棒性、技能规模、路由质量、候选通过率及负迁移案例分析。</w:t>
      </w:r>
    </w:p>
    <w:p>
      <w:pPr>
        <w:pStyle w:val="ListBullet"/>
        <w:spacing w:after="40" w:line="288" w:lineRule="auto"/>
        <w:ind w:left="420" w:hanging="210"/>
      </w:pPr>
      <w:r>
        <w:rPr>
          <w:rFonts w:ascii="Times New Roman" w:hAnsi="Times New Roman" w:eastAsia="宋体"/>
          <w:b w:val="0"/>
          <w:i w:val="0"/>
          <w:color w:val="000000"/>
          <w:sz w:val="21"/>
        </w:rPr>
        <w:t>逐条核验参考文献作者、卷期、页码、DOI和2026年预印本的最终出版信息。</w:t>
      </w:r>
    </w:p>
    <w:sectPr w:rsidR="00FC693F" w:rsidRPr="0006063C" w:rsidSect="00034616">
      <w:headerReference w:type="default" r:id="rId9"/>
      <w:footerReference w:type="default" r:id="rId10"/>
      <w:pgSz w:w="11906" w:h="16838"/>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000000"/>
        <w:sz w:val="17"/>
      </w:rPr>
      <w:t>EvoFactSkill  域情景元门控技能进化方法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EvoFactSkill 基于域情景元门控的跨域假新闻检测技能进化方法</dc:title>
  <dc:subject>计算机学报中文论文投稿初稿</dc:subject>
  <dc:creator/>
  <cp:keywords>假新闻检测, 跨域泛化, 元学习, 技能自进化, 大语言模型智能体, 负迁移</cp:keywords>
  <dc:description>generated by python-docx</dc:description>
  <cp:lastModifiedBy/>
  <cp:revision>1</cp:revision>
  <dcterms:created xsi:type="dcterms:W3CDTF">2013-12-23T23:15:00Z</dcterms:created>
  <dcterms:modified xsi:type="dcterms:W3CDTF">2013-12-23T23:15:00Z</dcterms:modified>
  <cp:category/>
</cp:coreProperties>
</file>