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00"/>
        <w:jc w:val="center"/>
      </w:pPr>
      <w:r>
        <w:drawing>
          <wp:inline xmlns:a="http://schemas.openxmlformats.org/drawingml/2006/main" xmlns:pic="http://schemas.openxmlformats.org/drawingml/2006/picture">
            <wp:extent cx="1965960" cy="1050772"/>
            <wp:docPr id="1" name="Picture 1"/>
            <wp:cNvGraphicFramePr>
              <a:graphicFrameLocks noChangeAspect="1"/>
            </wp:cNvGraphicFramePr>
            <a:graphic>
              <a:graphicData uri="http://schemas.openxmlformats.org/drawingml/2006/picture">
                <pic:pic>
                  <pic:nvPicPr>
                    <pic:cNvPr id="0" name="nirma_logo.png"/>
                    <pic:cNvPicPr/>
                  </pic:nvPicPr>
                  <pic:blipFill>
                    <a:blip r:embed="rId11"/>
                    <a:stretch>
                      <a:fillRect/>
                    </a:stretch>
                  </pic:blipFill>
                  <pic:spPr>
                    <a:xfrm>
                      <a:off x="0" y="0"/>
                      <a:ext cx="1965960" cy="1050772"/>
                    </a:xfrm>
                    <a:prstGeom prst="rect"/>
                  </pic:spPr>
                </pic:pic>
              </a:graphicData>
            </a:graphic>
          </wp:inline>
        </w:drawing>
      </w:r>
    </w:p>
    <w:p>
      <w:pPr>
        <w:spacing w:after="60"/>
        <w:jc w:val="center"/>
      </w:pPr>
      <w:r>
        <w:rPr>
          <w:rFonts w:ascii="Arial" w:hAnsi="Arial"/>
          <w:b/>
          <w:color w:val="203451"/>
          <w:sz w:val="30"/>
        </w:rPr>
        <w:t>NIRMA UNIVERSITY</w:t>
      </w:r>
    </w:p>
    <w:p>
      <w:pPr>
        <w:spacing w:after="340"/>
        <w:jc w:val="center"/>
      </w:pPr>
      <w:r>
        <w:rPr>
          <w:rFonts w:ascii="Arial" w:hAnsi="Arial"/>
          <w:b/>
          <w:color w:val="596579"/>
          <w:sz w:val="20"/>
        </w:rPr>
        <w:t>INSTITUTE OF TECHNOLOGY</w:t>
      </w:r>
    </w:p>
    <w:p>
      <w:pPr>
        <w:pStyle w:val="Title"/>
        <w:jc w:val="center"/>
      </w:pPr>
      <w:r>
        <w:t>Explain the Project to Your Professor</w:t>
      </w:r>
    </w:p>
    <w:p>
      <w:pPr>
        <w:spacing w:after="340"/>
        <w:jc w:val="center"/>
      </w:pPr>
      <w:r>
        <w:rPr>
          <w:rFonts w:ascii="Arial" w:hAnsi="Arial"/>
          <w:color w:val="315B84"/>
          <w:sz w:val="24"/>
        </w:rPr>
        <w:t>Architecture, processing flow, demonstration script, and viva preparation</w:t>
      </w:r>
    </w:p>
    <w:tbl>
      <w:tblPr>
        <w:tblW w:type="auto" w:w="0"/>
        <w:jc w:val="center"/>
        <w:tblLayout w:type="fixed"/>
        <w:tblLook w:firstColumn="1" w:firstRow="1" w:lastColumn="0" w:lastRow="0" w:noHBand="0" w:noVBand="1" w:val="04A0"/>
      </w:tblPr>
      <w:tblGrid>
        <w:gridCol w:w="2376"/>
        <w:gridCol w:w="6264"/>
      </w:tblGrid>
      <w:tr>
        <w:trPr>
          <w:cantSplit/>
        </w:trPr>
        <w:tc>
          <w:tcPr>
            <w:tcW w:type="dxa" w:w="4939"/>
            <w:tcMar>
              <w:top w:w="120" w:type="dxa"/>
              <w:start w:w="110" w:type="dxa"/>
              <w:bottom w:w="120" w:type="dxa"/>
              <w:end w:w="110" w:type="dxa"/>
            </w:tcMar>
            <w:vAlign w:val="center"/>
            <w:shd w:fill="203451"/>
          </w:tcPr>
          <w:p>
            <w:r>
              <w:rPr>
                <w:rFonts w:ascii="Arial" w:hAnsi="Arial"/>
                <w:b/>
                <w:color w:val="FFFFFF"/>
                <w:sz w:val="18"/>
              </w:rPr>
              <w:t>Subject</w:t>
            </w:r>
          </w:p>
        </w:tc>
        <w:tc>
          <w:tcPr>
            <w:tcW w:type="dxa" w:w="4939"/>
            <w:tcMar>
              <w:top w:w="120" w:type="dxa"/>
              <w:start w:w="110" w:type="dxa"/>
              <w:bottom w:w="120" w:type="dxa"/>
              <w:end w:w="110" w:type="dxa"/>
            </w:tcMar>
            <w:vAlign w:val="center"/>
            <w:shd w:fill="F2F5F8"/>
          </w:tcPr>
          <w:p>
            <w:r>
              <w:rPr>
                <w:rFonts w:ascii="Arial" w:hAnsi="Arial"/>
                <w:b/>
                <w:color w:val="203451"/>
                <w:sz w:val="18"/>
              </w:rPr>
              <w:t>4CS101ME25 - Big Data Systems</w:t>
            </w:r>
          </w:p>
        </w:tc>
      </w:tr>
      <w:tr>
        <w:trPr>
          <w:cantSplit/>
        </w:trPr>
        <w:tc>
          <w:tcPr>
            <w:tcW w:type="dxa" w:w="4939"/>
            <w:tcMar>
              <w:top w:w="120" w:type="dxa"/>
              <w:start w:w="110" w:type="dxa"/>
              <w:bottom w:w="120" w:type="dxa"/>
              <w:end w:w="110" w:type="dxa"/>
            </w:tcMar>
            <w:vAlign w:val="center"/>
            <w:shd w:fill="203451"/>
          </w:tcPr>
          <w:p>
            <w:r>
              <w:rPr>
                <w:rFonts w:ascii="Arial" w:hAnsi="Arial"/>
                <w:b/>
                <w:color w:val="FFFFFF"/>
                <w:sz w:val="18"/>
              </w:rPr>
              <w:t>Document</w:t>
            </w:r>
          </w:p>
        </w:tc>
        <w:tc>
          <w:tcPr>
            <w:tcW w:type="dxa" w:w="4939"/>
            <w:tcMar>
              <w:top w:w="120" w:type="dxa"/>
              <w:start w:w="110" w:type="dxa"/>
              <w:bottom w:w="120" w:type="dxa"/>
              <w:end w:w="110" w:type="dxa"/>
            </w:tcMar>
            <w:vAlign w:val="center"/>
            <w:shd w:fill="F2F5F8"/>
          </w:tcPr>
          <w:p>
            <w:r>
              <w:rPr>
                <w:rFonts w:ascii="Arial" w:hAnsi="Arial"/>
                <w:b/>
                <w:color w:val="203451"/>
                <w:sz w:val="18"/>
              </w:rPr>
              <w:t>Project explanation and presentation guide</w:t>
            </w:r>
          </w:p>
        </w:tc>
      </w:tr>
      <w:tr>
        <w:trPr>
          <w:cantSplit/>
        </w:trPr>
        <w:tc>
          <w:tcPr>
            <w:tcW w:type="dxa" w:w="4939"/>
            <w:tcMar>
              <w:top w:w="120" w:type="dxa"/>
              <w:start w:w="110" w:type="dxa"/>
              <w:bottom w:w="120" w:type="dxa"/>
              <w:end w:w="110" w:type="dxa"/>
            </w:tcMar>
            <w:vAlign w:val="center"/>
            <w:shd w:fill="203451"/>
          </w:tcPr>
          <w:p>
            <w:r>
              <w:rPr>
                <w:rFonts w:ascii="Arial" w:hAnsi="Arial"/>
                <w:b/>
                <w:color w:val="FFFFFF"/>
                <w:sz w:val="18"/>
              </w:rPr>
              <w:t>Prepared</w:t>
            </w:r>
          </w:p>
        </w:tc>
        <w:tc>
          <w:tcPr>
            <w:tcW w:type="dxa" w:w="4939"/>
            <w:tcMar>
              <w:top w:w="120" w:type="dxa"/>
              <w:start w:w="110" w:type="dxa"/>
              <w:bottom w:w="120" w:type="dxa"/>
              <w:end w:w="110" w:type="dxa"/>
            </w:tcMar>
            <w:vAlign w:val="center"/>
            <w:shd w:fill="F2F5F8"/>
          </w:tcPr>
          <w:p>
            <w:r>
              <w:rPr>
                <w:rFonts w:ascii="Arial" w:hAnsi="Arial"/>
                <w:b/>
                <w:color w:val="203451"/>
                <w:sz w:val="18"/>
              </w:rPr>
              <w:t>2 October 2026</w:t>
            </w:r>
          </w:p>
        </w:tc>
      </w:tr>
    </w:tbl>
    <w:p>
      <w:pPr>
        <w:spacing w:before="280"/>
        <w:jc w:val="center"/>
      </w:pPr>
      <w:r>
        <w:rPr>
          <w:rFonts w:ascii="Arial" w:hAnsi="Arial"/>
          <w:b/>
          <w:color w:val="203451"/>
          <w:sz w:val="19"/>
        </w:rPr>
        <w:t>Submitted by: Fenil Chodvadiya (Lead), Sarth Narola, Aayush Savaliya</w:t>
      </w:r>
    </w:p>
    <w:p>
      <w:pPr>
        <w:jc w:val="center"/>
      </w:pPr>
      <w:r>
        <w:rPr>
          <w:rFonts w:ascii="Arial" w:hAnsi="Arial"/>
          <w:color w:val="596579"/>
          <w:sz w:val="18"/>
        </w:rPr>
        <w:t>Department of Computer Science &amp; Engineering  •  Institute of Technology</w:t>
      </w:r>
    </w:p>
    <w:p>
      <w:pPr>
        <w:jc w:val="center"/>
      </w:pPr>
      <w:r>
        <w:rPr>
          <w:rFonts w:ascii="Arial" w:hAnsi="Arial"/>
          <w:b/>
          <w:color w:val="315B84"/>
          <w:sz w:val="18"/>
        </w:rPr>
        <w:t>Subject: 4CS101ME25 - Big Data Systems</w:t>
      </w:r>
    </w:p>
    <w:p>
      <w:r>
        <w:br w:type="page"/>
      </w:r>
    </w:p>
    <w:p>
      <w:pPr>
        <w:pStyle w:val="Heading1"/>
      </w:pPr>
      <w:r>
        <w:t>Project in one minute</w:t>
      </w:r>
    </w:p>
    <w:p>
      <w:r>
        <w:t>This project demonstrates a COVID-19 analytics pipeline built around distributed storage and processing. Five CSV inputs are uploaded into HDFS, where the large epidemiology file is divided into blocks and replicated across two DataNodes. A PySpark job reads those HDFS inputs and prepares country, global, date, vaccination, hospitalization, and regional summaries. Streamlit presents processed summaries for exploration; it does not replace Spark or perform the distributed aggregation.</w:t>
      </w:r>
    </w:p>
    <w:tbl>
      <w:tblPr>
        <w:tblW w:type="auto" w:w="0"/>
        <w:jc w:val="center"/>
        <w:tblLook w:firstColumn="1" w:firstRow="1" w:lastColumn="0" w:lastRow="0" w:noHBand="0" w:noVBand="1" w:val="04A0"/>
      </w:tblPr>
      <w:tblGrid>
        <w:gridCol w:w="9878"/>
      </w:tblGrid>
      <w:tr>
        <w:trPr>
          <w:cantSplit/>
        </w:trPr>
        <w:tc>
          <w:tcPr>
            <w:tcW w:type="dxa" w:w="9878"/>
            <w:shd w:fill="F2F5F8"/>
            <w:tcMar>
              <w:top w:w="145" w:type="dxa"/>
              <w:start w:w="180" w:type="dxa"/>
              <w:bottom w:w="145" w:type="dxa"/>
              <w:end w:w="180" w:type="dxa"/>
            </w:tcMar>
          </w:tcPr>
          <w:p>
            <w:pPr>
              <w:spacing w:after="20"/>
            </w:pPr>
            <w:r>
              <w:rPr>
                <w:rFonts w:ascii="Arial" w:hAnsi="Arial"/>
                <w:b/>
                <w:color w:val="8E3040"/>
                <w:sz w:val="18"/>
              </w:rPr>
              <w:t xml:space="preserve">Accurate cluster description  </w:t>
            </w:r>
            <w:r>
              <w:rPr>
                <w:rFonts w:ascii="Arial" w:hAnsi="Arial"/>
                <w:color w:val="203451"/>
                <w:sz w:val="18"/>
              </w:rPr>
              <w:t>The Hadoop cluster has one master and two worker containers. They run on one Docker host, so this is a containerized distributed cluster demonstration, not three separate physical computers.</w:t>
            </w:r>
          </w:p>
        </w:tc>
      </w:tr>
    </w:tbl>
    <w:p>
      <w:pPr>
        <w:spacing w:after="20"/>
      </w:pPr>
    </w:p>
    <w:p>
      <w:pPr>
        <w:pStyle w:val="Heading1"/>
      </w:pPr>
      <w:r>
        <w:t>What each technology contributes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00"/>
            <w:shd w:fill="203451"/>
            <w:tcMar>
              <w:top w:w="90" w:type="dxa"/>
              <w:start w:w="110" w:type="dxa"/>
              <w:bottom w:w="90" w:type="dxa"/>
              <w:end w:w="110" w:type="dxa"/>
            </w:tcMar>
            <w:vAlign w:val="center"/>
          </w:tcPr>
          <w:p>
            <w:r>
              <w:rPr>
                <w:rFonts w:ascii="Arial" w:hAnsi="Arial"/>
                <w:b/>
                <w:color w:val="FFFFFF"/>
                <w:sz w:val="16"/>
              </w:rPr>
              <w:t>Component</w:t>
            </w:r>
          </w:p>
        </w:tc>
        <w:tc>
          <w:tcPr>
            <w:tcW w:type="dxa" w:w="3672"/>
            <w:shd w:fill="203451"/>
            <w:tcMar>
              <w:top w:w="90" w:type="dxa"/>
              <w:start w:w="110" w:type="dxa"/>
              <w:bottom w:w="90" w:type="dxa"/>
              <w:end w:w="110" w:type="dxa"/>
            </w:tcMar>
            <w:vAlign w:val="center"/>
          </w:tcPr>
          <w:p>
            <w:r>
              <w:rPr>
                <w:rFonts w:ascii="Arial" w:hAnsi="Arial"/>
                <w:b/>
                <w:color w:val="FFFFFF"/>
                <w:sz w:val="16"/>
              </w:rPr>
              <w:t>Role in this project</w:t>
            </w:r>
          </w:p>
        </w:tc>
        <w:tc>
          <w:tcPr>
            <w:tcW w:type="dxa" w:w="3888"/>
            <w:shd w:fill="203451"/>
            <w:tcMar>
              <w:top w:w="90" w:type="dxa"/>
              <w:start w:w="110" w:type="dxa"/>
              <w:bottom w:w="90" w:type="dxa"/>
              <w:end w:w="110" w:type="dxa"/>
            </w:tcMar>
            <w:vAlign w:val="center"/>
          </w:tcPr>
          <w:p>
            <w:r>
              <w:rPr>
                <w:rFonts w:ascii="Arial" w:hAnsi="Arial"/>
                <w:b/>
                <w:color w:val="FFFFFF"/>
                <w:sz w:val="16"/>
              </w:rPr>
              <w:t>What to point out</w:t>
            </w:r>
          </w:p>
        </w:tc>
      </w:tr>
      <w:tr>
        <w:trPr>
          <w:cantSplit/>
        </w:trPr>
        <w:tc>
          <w:tcPr>
            <w:tcW w:type="dxa" w:w="1800"/>
            <w:tcMar>
              <w:top w:w="90" w:type="dxa"/>
              <w:start w:w="110" w:type="dxa"/>
              <w:bottom w:w="90" w:type="dxa"/>
              <w:end w:w="110" w:type="dxa"/>
            </w:tcMar>
            <w:vAlign w:val="center"/>
          </w:tcPr>
          <w:p>
            <w:pPr>
              <w:spacing w:after="0" w:line="240" w:lineRule="auto"/>
            </w:pPr>
            <w:r>
              <w:rPr>
                <w:rFonts w:ascii="Arial" w:hAnsi="Arial"/>
                <w:color w:val="203451"/>
                <w:sz w:val="16"/>
              </w:rPr>
              <w:t>Docker Compose</w:t>
            </w:r>
          </w:p>
        </w:tc>
        <w:tc>
          <w:tcPr>
            <w:tcW w:type="dxa" w:w="3672"/>
            <w:tcMar>
              <w:top w:w="90" w:type="dxa"/>
              <w:start w:w="110" w:type="dxa"/>
              <w:bottom w:w="90" w:type="dxa"/>
              <w:end w:w="110" w:type="dxa"/>
            </w:tcMar>
            <w:vAlign w:val="center"/>
          </w:tcPr>
          <w:p>
            <w:pPr>
              <w:spacing w:after="0" w:line="240" w:lineRule="auto"/>
            </w:pPr>
            <w:r>
              <w:rPr>
                <w:rFonts w:ascii="Arial" w:hAnsi="Arial"/>
                <w:color w:val="203451"/>
                <w:sz w:val="16"/>
              </w:rPr>
              <w:t>Starts and connects the project services.</w:t>
            </w:r>
          </w:p>
        </w:tc>
        <w:tc>
          <w:tcPr>
            <w:tcW w:type="dxa" w:w="3888"/>
            <w:tcMar>
              <w:top w:w="90" w:type="dxa"/>
              <w:start w:w="110" w:type="dxa"/>
              <w:bottom w:w="90" w:type="dxa"/>
              <w:end w:w="110" w:type="dxa"/>
            </w:tcMar>
            <w:vAlign w:val="center"/>
          </w:tcPr>
          <w:p>
            <w:pPr>
              <w:spacing w:after="0" w:line="240" w:lineRule="auto"/>
            </w:pPr>
            <w:r>
              <w:rPr>
                <w:rFonts w:ascii="Arial" w:hAnsi="Arial"/>
                <w:color w:val="203451"/>
                <w:sz w:val="16"/>
              </w:rPr>
              <w:t>One master, two Hadoop workers, Spark master/two workers, and Streamlit.</w:t>
            </w:r>
          </w:p>
        </w:tc>
      </w:tr>
      <w:tr>
        <w:trPr>
          <w:cantSplit/>
        </w:trPr>
        <w:tc>
          <w:tcPr>
            <w:tcW w:type="dxa" w:w="1800"/>
            <w:tcMar>
              <w:top w:w="90" w:type="dxa"/>
              <w:start w:w="110" w:type="dxa"/>
              <w:bottom w:w="90" w:type="dxa"/>
              <w:end w:w="110" w:type="dxa"/>
            </w:tcMar>
            <w:vAlign w:val="center"/>
            <w:shd w:fill="F7F9FB"/>
          </w:tcPr>
          <w:p>
            <w:pPr>
              <w:spacing w:after="0" w:line="240" w:lineRule="auto"/>
            </w:pPr>
            <w:r>
              <w:rPr>
                <w:rFonts w:ascii="Arial" w:hAnsi="Arial"/>
                <w:color w:val="203451"/>
                <w:sz w:val="16"/>
              </w:rPr>
              <w:t>HDFS</w:t>
            </w:r>
          </w:p>
        </w:tc>
        <w:tc>
          <w:tcPr>
            <w:tcW w:type="dxa" w:w="3672"/>
            <w:tcMar>
              <w:top w:w="90" w:type="dxa"/>
              <w:start w:w="110" w:type="dxa"/>
              <w:bottom w:w="90" w:type="dxa"/>
              <w:end w:w="110" w:type="dxa"/>
            </w:tcMar>
            <w:vAlign w:val="center"/>
            <w:shd w:fill="F7F9FB"/>
          </w:tcPr>
          <w:p>
            <w:pPr>
              <w:spacing w:after="0" w:line="240" w:lineRule="auto"/>
            </w:pPr>
            <w:r>
              <w:rPr>
                <w:rFonts w:ascii="Arial" w:hAnsi="Arial"/>
                <w:color w:val="203451"/>
                <w:sz w:val="16"/>
              </w:rPr>
              <w:t>Stores source files as distributed, replicated blocks.</w:t>
            </w:r>
          </w:p>
        </w:tc>
        <w:tc>
          <w:tcPr>
            <w:tcW w:type="dxa" w:w="3888"/>
            <w:tcMar>
              <w:top w:w="90" w:type="dxa"/>
              <w:start w:w="110" w:type="dxa"/>
              <w:bottom w:w="90" w:type="dxa"/>
              <w:end w:w="110" w:type="dxa"/>
            </w:tcMar>
            <w:vAlign w:val="center"/>
            <w:shd w:fill="F7F9FB"/>
          </w:tcPr>
          <w:p>
            <w:pPr>
              <w:spacing w:after="0" w:line="240" w:lineRule="auto"/>
            </w:pPr>
            <w:r>
              <w:rPr>
                <w:rFonts w:ascii="Arial" w:hAnsi="Arial"/>
                <w:color w:val="203451"/>
                <w:sz w:val="16"/>
              </w:rPr>
              <w:t>Use dfsadmin -report and fsck locations as evidence.</w:t>
            </w:r>
          </w:p>
        </w:tc>
      </w:tr>
      <w:tr>
        <w:trPr>
          <w:cantSplit/>
        </w:trPr>
        <w:tc>
          <w:tcPr>
            <w:tcW w:type="dxa" w:w="1800"/>
            <w:tcMar>
              <w:top w:w="90" w:type="dxa"/>
              <w:start w:w="110" w:type="dxa"/>
              <w:bottom w:w="90" w:type="dxa"/>
              <w:end w:w="110" w:type="dxa"/>
            </w:tcMar>
            <w:vAlign w:val="center"/>
          </w:tcPr>
          <w:p>
            <w:pPr>
              <w:spacing w:after="0" w:line="240" w:lineRule="auto"/>
            </w:pPr>
            <w:r>
              <w:rPr>
                <w:rFonts w:ascii="Arial" w:hAnsi="Arial"/>
                <w:color w:val="203451"/>
                <w:sz w:val="16"/>
              </w:rPr>
              <w:t>YARN</w:t>
            </w:r>
          </w:p>
        </w:tc>
        <w:tc>
          <w:tcPr>
            <w:tcW w:type="dxa" w:w="3672"/>
            <w:tcMar>
              <w:top w:w="90" w:type="dxa"/>
              <w:start w:w="110" w:type="dxa"/>
              <w:bottom w:w="90" w:type="dxa"/>
              <w:end w:w="110" w:type="dxa"/>
            </w:tcMar>
            <w:vAlign w:val="center"/>
          </w:tcPr>
          <w:p>
            <w:pPr>
              <w:spacing w:after="0" w:line="240" w:lineRule="auto"/>
            </w:pPr>
            <w:r>
              <w:rPr>
                <w:rFonts w:ascii="Arial" w:hAnsi="Arial"/>
                <w:color w:val="203451"/>
                <w:sz w:val="16"/>
              </w:rPr>
              <w:t>Hadoop resource management services are present.</w:t>
            </w:r>
          </w:p>
        </w:tc>
        <w:tc>
          <w:tcPr>
            <w:tcW w:type="dxa" w:w="3888"/>
            <w:tcMar>
              <w:top w:w="90" w:type="dxa"/>
              <w:start w:w="110" w:type="dxa"/>
              <w:bottom w:w="90" w:type="dxa"/>
              <w:end w:w="110" w:type="dxa"/>
            </w:tcMar>
            <w:vAlign w:val="center"/>
          </w:tcPr>
          <w:p>
            <w:pPr>
              <w:spacing w:after="0" w:line="240" w:lineRule="auto"/>
            </w:pPr>
            <w:r>
              <w:rPr>
                <w:rFonts w:ascii="Arial" w:hAnsi="Arial"/>
                <w:color w:val="203451"/>
                <w:sz w:val="16"/>
              </w:rPr>
              <w:t>ResourceManager and NodeManagers run; current job path uses Spark standalone.</w:t>
            </w:r>
          </w:p>
        </w:tc>
      </w:tr>
      <w:tr>
        <w:trPr>
          <w:cantSplit/>
        </w:trPr>
        <w:tc>
          <w:tcPr>
            <w:tcW w:type="dxa" w:w="1800"/>
            <w:tcMar>
              <w:top w:w="90" w:type="dxa"/>
              <w:start w:w="110" w:type="dxa"/>
              <w:bottom w:w="90" w:type="dxa"/>
              <w:end w:w="110" w:type="dxa"/>
            </w:tcMar>
            <w:vAlign w:val="center"/>
            <w:shd w:fill="F7F9FB"/>
          </w:tcPr>
          <w:p>
            <w:pPr>
              <w:spacing w:after="0" w:line="240" w:lineRule="auto"/>
            </w:pPr>
            <w:r>
              <w:rPr>
                <w:rFonts w:ascii="Arial" w:hAnsi="Arial"/>
                <w:color w:val="203451"/>
                <w:sz w:val="16"/>
              </w:rPr>
              <w:t>Apache Spark</w:t>
            </w:r>
          </w:p>
        </w:tc>
        <w:tc>
          <w:tcPr>
            <w:tcW w:type="dxa" w:w="3672"/>
            <w:tcMar>
              <w:top w:w="90" w:type="dxa"/>
              <w:start w:w="110" w:type="dxa"/>
              <w:bottom w:w="90" w:type="dxa"/>
              <w:end w:w="110" w:type="dxa"/>
            </w:tcMar>
            <w:vAlign w:val="center"/>
            <w:shd w:fill="F7F9FB"/>
          </w:tcPr>
          <w:p>
            <w:pPr>
              <w:spacing w:after="0" w:line="240" w:lineRule="auto"/>
            </w:pPr>
            <w:r>
              <w:rPr>
                <w:rFonts w:ascii="Arial" w:hAnsi="Arial"/>
                <w:color w:val="203451"/>
                <w:sz w:val="16"/>
              </w:rPr>
              <w:t>Processes the COVID tables and prepares aggregate DataFrames.</w:t>
            </w:r>
          </w:p>
        </w:tc>
        <w:tc>
          <w:tcPr>
            <w:tcW w:type="dxa" w:w="3888"/>
            <w:tcMar>
              <w:top w:w="90" w:type="dxa"/>
              <w:start w:w="110" w:type="dxa"/>
              <w:bottom w:w="90" w:type="dxa"/>
              <w:end w:w="110" w:type="dxa"/>
            </w:tcMar>
            <w:vAlign w:val="center"/>
            <w:shd w:fill="F7F9FB"/>
          </w:tcPr>
          <w:p>
            <w:pPr>
              <w:spacing w:after="0" w:line="240" w:lineRule="auto"/>
            </w:pPr>
            <w:r>
              <w:rPr>
                <w:rFonts w:ascii="Arial" w:hAnsi="Arial"/>
                <w:color w:val="203451"/>
                <w:sz w:val="16"/>
              </w:rPr>
              <w:t>The latest attempt registered an executor on each Spark worker but did not finish output.</w:t>
            </w:r>
          </w:p>
        </w:tc>
      </w:tr>
      <w:tr>
        <w:trPr>
          <w:cantSplit/>
        </w:trPr>
        <w:tc>
          <w:tcPr>
            <w:tcW w:type="dxa" w:w="1800"/>
            <w:tcMar>
              <w:top w:w="90" w:type="dxa"/>
              <w:start w:w="110" w:type="dxa"/>
              <w:bottom w:w="90" w:type="dxa"/>
              <w:end w:w="110" w:type="dxa"/>
            </w:tcMar>
            <w:vAlign w:val="center"/>
          </w:tcPr>
          <w:p>
            <w:pPr>
              <w:spacing w:after="0" w:line="240" w:lineRule="auto"/>
            </w:pPr>
            <w:r>
              <w:rPr>
                <w:rFonts w:ascii="Arial" w:hAnsi="Arial"/>
                <w:color w:val="203451"/>
                <w:sz w:val="16"/>
              </w:rPr>
              <w:t>MongoDB / Parquet</w:t>
            </w:r>
          </w:p>
        </w:tc>
        <w:tc>
          <w:tcPr>
            <w:tcW w:type="dxa" w:w="3672"/>
            <w:tcMar>
              <w:top w:w="90" w:type="dxa"/>
              <w:start w:w="110" w:type="dxa"/>
              <w:bottom w:w="90" w:type="dxa"/>
              <w:end w:w="110" w:type="dxa"/>
            </w:tcMar>
            <w:vAlign w:val="center"/>
          </w:tcPr>
          <w:p>
            <w:pPr>
              <w:spacing w:after="0" w:line="240" w:lineRule="auto"/>
            </w:pPr>
            <w:r>
              <w:rPr>
                <w:rFonts w:ascii="Arial" w:hAnsi="Arial"/>
                <w:color w:val="203451"/>
                <w:sz w:val="16"/>
              </w:rPr>
              <w:t>Optional results destinations and dashboard fallback.</w:t>
            </w:r>
          </w:p>
        </w:tc>
        <w:tc>
          <w:tcPr>
            <w:tcW w:type="dxa" w:w="3888"/>
            <w:tcMar>
              <w:top w:w="90" w:type="dxa"/>
              <w:start w:w="110" w:type="dxa"/>
              <w:bottom w:w="90" w:type="dxa"/>
              <w:end w:w="110" w:type="dxa"/>
            </w:tcMar>
            <w:vAlign w:val="center"/>
          </w:tcPr>
          <w:p>
            <w:pPr>
              <w:spacing w:after="0" w:line="240" w:lineRule="auto"/>
            </w:pPr>
            <w:r>
              <w:rPr>
                <w:rFonts w:ascii="Arial" w:hAnsi="Arial"/>
                <w:color w:val="203451"/>
                <w:sz w:val="16"/>
              </w:rPr>
              <w:t>Do not label an old or partial result as current.</w:t>
            </w:r>
          </w:p>
        </w:tc>
      </w:tr>
      <w:tr>
        <w:trPr>
          <w:cantSplit/>
        </w:trPr>
        <w:tc>
          <w:tcPr>
            <w:tcW w:type="dxa" w:w="1800"/>
            <w:tcMar>
              <w:top w:w="90" w:type="dxa"/>
              <w:start w:w="110" w:type="dxa"/>
              <w:bottom w:w="90" w:type="dxa"/>
              <w:end w:w="110" w:type="dxa"/>
            </w:tcMar>
            <w:vAlign w:val="center"/>
            <w:shd w:fill="F7F9FB"/>
          </w:tcPr>
          <w:p>
            <w:pPr>
              <w:spacing w:after="0" w:line="240" w:lineRule="auto"/>
            </w:pPr>
            <w:r>
              <w:rPr>
                <w:rFonts w:ascii="Arial" w:hAnsi="Arial"/>
                <w:color w:val="203451"/>
                <w:sz w:val="16"/>
              </w:rPr>
              <w:t>Streamlit</w:t>
            </w:r>
          </w:p>
        </w:tc>
        <w:tc>
          <w:tcPr>
            <w:tcW w:type="dxa" w:w="3672"/>
            <w:tcMar>
              <w:top w:w="90" w:type="dxa"/>
              <w:start w:w="110" w:type="dxa"/>
              <w:bottom w:w="90" w:type="dxa"/>
              <w:end w:w="110" w:type="dxa"/>
            </w:tcMar>
            <w:vAlign w:val="center"/>
            <w:shd w:fill="F7F9FB"/>
          </w:tcPr>
          <w:p>
            <w:pPr>
              <w:spacing w:after="0" w:line="240" w:lineRule="auto"/>
            </w:pPr>
            <w:r>
              <w:rPr>
                <w:rFonts w:ascii="Arial" w:hAnsi="Arial"/>
                <w:color w:val="203451"/>
                <w:sz w:val="16"/>
              </w:rPr>
              <w:t>Shows KPIs, country views, charts, filters, and data quality.</w:t>
            </w:r>
          </w:p>
        </w:tc>
        <w:tc>
          <w:tcPr>
            <w:tcW w:type="dxa" w:w="3888"/>
            <w:tcMar>
              <w:top w:w="90" w:type="dxa"/>
              <w:start w:w="110" w:type="dxa"/>
              <w:bottom w:w="90" w:type="dxa"/>
              <w:end w:w="110" w:type="dxa"/>
            </w:tcMar>
            <w:vAlign w:val="center"/>
            <w:shd w:fill="F7F9FB"/>
          </w:tcPr>
          <w:p>
            <w:pPr>
              <w:spacing w:after="0" w:line="240" w:lineRule="auto"/>
            </w:pPr>
            <w:r>
              <w:rPr>
                <w:rFonts w:ascii="Arial" w:hAnsi="Arial"/>
                <w:color w:val="203451"/>
                <w:sz w:val="16"/>
              </w:rPr>
              <w:t>It consumes results; it is not the distributed engine.</w:t>
            </w:r>
          </w:p>
        </w:tc>
      </w:tr>
    </w:tbl>
    <w:p>
      <w:pPr>
        <w:spacing w:after="20"/>
      </w:pPr>
    </w:p>
    <w:p>
      <w:pPr>
        <w:pStyle w:val="Heading1"/>
      </w:pPr>
      <w:r>
        <w:t>Architecture to draw on the board</w:t>
      </w:r>
    </w:p>
    <w:p>
      <w:pPr>
        <w:keepLines/>
        <w:spacing w:before="40" w:after="140"/>
        <w:ind w:left="173" w:right="115"/>
        <w:shd w:fill="F0F3F6"/>
      </w:pPr>
      <w:r>
        <w:rPr>
          <w:rFonts w:ascii="Consolas" w:hAnsi="Consolas"/>
          <w:color w:val="203451"/>
          <w:sz w:val="16"/>
        </w:rPr>
        <w:t>Google COVID CSVs</w:t>
      </w:r>
      <w:r>
        <w:br/>
      </w:r>
      <w:r>
        <w:rPr>
          <w:rFonts w:ascii="Consolas" w:hAnsi="Consolas"/>
          <w:color w:val="203451"/>
          <w:sz w:val="16"/>
        </w:rPr>
        <w:t xml:space="preserve">       | download</w:t>
      </w:r>
      <w:r>
        <w:br/>
      </w:r>
      <w:r>
        <w:rPr>
          <w:rFonts w:ascii="Consolas" w:hAnsi="Consolas"/>
          <w:color w:val="203451"/>
          <w:sz w:val="16"/>
        </w:rPr>
        <w:t xml:space="preserve">       v</w:t>
      </w:r>
      <w:r>
        <w:br/>
      </w:r>
      <w:r>
        <w:rPr>
          <w:rFonts w:ascii="Consolas" w:hAnsi="Consolas"/>
          <w:color w:val="203451"/>
          <w:sz w:val="16"/>
        </w:rPr>
        <w:t>Local dataset/  --upload--&gt;  HDFS /covid/input</w:t>
      </w:r>
      <w:r>
        <w:br/>
      </w:r>
      <w:r>
        <w:rPr>
          <w:rFonts w:ascii="Consolas" w:hAnsi="Consolas"/>
          <w:color w:val="203451"/>
          <w:sz w:val="16"/>
        </w:rPr>
        <w:t xml:space="preserve">                                 |</w:t>
      </w:r>
      <w:r>
        <w:br/>
      </w:r>
      <w:r>
        <w:rPr>
          <w:rFonts w:ascii="Consolas" w:hAnsi="Consolas"/>
          <w:color w:val="203451"/>
          <w:sz w:val="16"/>
        </w:rPr>
        <w:t xml:space="preserve">                  +--------------+--------------+</w:t>
      </w:r>
      <w:r>
        <w:br/>
      </w:r>
      <w:r>
        <w:rPr>
          <w:rFonts w:ascii="Consolas" w:hAnsi="Consolas"/>
          <w:color w:val="203451"/>
          <w:sz w:val="16"/>
        </w:rPr>
        <w:t xml:space="preserve">                  |                             |</w:t>
      </w:r>
      <w:r>
        <w:br/>
      </w:r>
      <w:r>
        <w:rPr>
          <w:rFonts w:ascii="Consolas" w:hAnsi="Consolas"/>
          <w:color w:val="203451"/>
          <w:sz w:val="16"/>
        </w:rPr>
        <w:t xml:space="preserve">            DataNode worker 1             DataNode worker 2</w:t>
      </w:r>
      <w:r>
        <w:br/>
      </w:r>
      <w:r>
        <w:rPr>
          <w:rFonts w:ascii="Consolas" w:hAnsi="Consolas"/>
          <w:color w:val="203451"/>
          <w:sz w:val="16"/>
        </w:rPr>
        <w:t xml:space="preserve">                  |                             |</w:t>
      </w:r>
      <w:r>
        <w:br/>
      </w:r>
      <w:r>
        <w:rPr>
          <w:rFonts w:ascii="Consolas" w:hAnsi="Consolas"/>
          <w:color w:val="203451"/>
          <w:sz w:val="16"/>
        </w:rPr>
        <w:t xml:space="preserve">                  +--------- Spark job --------+</w:t>
      </w:r>
      <w:r>
        <w:br/>
      </w:r>
      <w:r>
        <w:rPr>
          <w:rFonts w:ascii="Consolas" w:hAnsi="Consolas"/>
          <w:color w:val="203451"/>
          <w:sz w:val="16"/>
        </w:rPr>
        <w:t xml:space="preserve">                                 |</w:t>
      </w:r>
      <w:r>
        <w:br/>
      </w:r>
      <w:r>
        <w:rPr>
          <w:rFonts w:ascii="Consolas" w:hAnsi="Consolas"/>
          <w:color w:val="203451"/>
          <w:sz w:val="16"/>
        </w:rPr>
        <w:t xml:space="preserve">                                 v</w:t>
      </w:r>
      <w:r>
        <w:br/>
      </w:r>
      <w:r>
        <w:rPr>
          <w:rFonts w:ascii="Consolas" w:hAnsi="Consolas"/>
          <w:color w:val="203451"/>
          <w:sz w:val="16"/>
        </w:rPr>
        <w:t xml:space="preserve">                     HDFS /covid/output (Parquet)</w:t>
      </w:r>
      <w:r>
        <w:br/>
      </w:r>
      <w:r>
        <w:rPr>
          <w:rFonts w:ascii="Consolas" w:hAnsi="Consolas"/>
          <w:color w:val="203451"/>
          <w:sz w:val="16"/>
        </w:rPr>
        <w:t xml:space="preserve">                                 |</w:t>
      </w:r>
      <w:r>
        <w:br/>
      </w:r>
      <w:r>
        <w:rPr>
          <w:rFonts w:ascii="Consolas" w:hAnsi="Consolas"/>
          <w:color w:val="203451"/>
          <w:sz w:val="16"/>
        </w:rPr>
        <w:t xml:space="preserve">                     local output/ or MongoDB</w:t>
      </w:r>
      <w:r>
        <w:br/>
      </w:r>
      <w:r>
        <w:rPr>
          <w:rFonts w:ascii="Consolas" w:hAnsi="Consolas"/>
          <w:color w:val="203451"/>
          <w:sz w:val="16"/>
        </w:rPr>
        <w:t xml:space="preserve">                                 |</w:t>
      </w:r>
      <w:r>
        <w:br/>
      </w:r>
      <w:r>
        <w:rPr>
          <w:rFonts w:ascii="Consolas" w:hAnsi="Consolas"/>
          <w:color w:val="203451"/>
          <w:sz w:val="16"/>
        </w:rPr>
        <w:t xml:space="preserve">                                 v</w:t>
      </w:r>
      <w:r>
        <w:br/>
      </w:r>
      <w:r>
        <w:rPr>
          <w:rFonts w:ascii="Consolas" w:hAnsi="Consolas"/>
          <w:color w:val="203451"/>
          <w:sz w:val="16"/>
        </w:rPr>
        <w:t xml:space="preserve">                         Streamlit dashboard</w:t>
      </w:r>
    </w:p>
    <w:p>
      <w:pPr>
        <w:pStyle w:val="Heading1"/>
      </w:pPr>
      <w:r>
        <w:t>How HDFS proves distribution</w:t>
      </w:r>
    </w:p>
    <w:p>
      <w:r>
        <w:t>The NameNode manages file-system metadata. The two DataNodes store block replicas. The epidemiology.csv file is about 521 MB and was verified as four HDFS blocks at replication factor two. fsck listed both worker DataNodes for each of those blocks. This is evidence of HDFS distribution; simply mounting the same CSV into each container would not be.</w:t>
      </w:r>
    </w:p>
    <w:p>
      <w:pPr>
        <w:pStyle w:val="Heading1"/>
      </w:pPr>
      <w:r>
        <w:t>How the Spark processing is designed</w:t>
      </w:r>
    </w:p>
    <w:p>
      <w:pPr>
        <w:pStyle w:val="ListBullet"/>
        <w:spacing w:after="40"/>
      </w:pPr>
      <w:r>
        <w:t>The job reads epidemiology, index, vaccination, hospitalization, and demographic data from HDFS.</w:t>
      </w:r>
    </w:p>
    <w:p>
      <w:pPr>
        <w:pStyle w:val="ListBullet"/>
        <w:spacing w:after="40"/>
      </w:pPr>
      <w:r>
        <w:t>Spark transformations prepare global totals, country summaries, daily global trends, country-date series, vaccination and hospitalization summaries, and regional aggregates.</w:t>
      </w:r>
    </w:p>
    <w:p>
      <w:pPr>
        <w:pStyle w:val="ListBullet"/>
        <w:spacing w:after="40"/>
      </w:pPr>
      <w:r>
        <w:t>The job is configured for Spark standalone mode with one executor on each Spark worker in the demonstrated run.</w:t>
      </w:r>
    </w:p>
    <w:p>
      <w:pPr>
        <w:pStyle w:val="ListBullet"/>
        <w:spacing w:after="40"/>
      </w:pPr>
      <w:r>
        <w:t>The intended output is written to HDFS /covid/output. After a successful submit, the runner synchronizes Parquet results under output/ for Streamlit fallback.</w:t>
      </w:r>
    </w:p>
    <w:tbl>
      <w:tblPr>
        <w:tblW w:type="auto" w:w="0"/>
        <w:jc w:val="center"/>
        <w:tblLook w:firstColumn="1" w:firstRow="1" w:lastColumn="0" w:lastRow="0" w:noHBand="0" w:noVBand="1" w:val="04A0"/>
      </w:tblPr>
      <w:tblGrid>
        <w:gridCol w:w="9878"/>
      </w:tblGrid>
      <w:tr>
        <w:trPr>
          <w:cantSplit/>
        </w:trPr>
        <w:tc>
          <w:tcPr>
            <w:tcW w:type="dxa" w:w="9878"/>
            <w:shd w:fill="FAF5E8"/>
            <w:tcMar>
              <w:top w:w="145" w:type="dxa"/>
              <w:start w:w="180" w:type="dxa"/>
              <w:bottom w:w="145" w:type="dxa"/>
              <w:end w:w="180" w:type="dxa"/>
            </w:tcMar>
          </w:tcPr>
          <w:p>
            <w:pPr>
              <w:spacing w:after="20"/>
            </w:pPr>
            <w:r>
              <w:rPr>
                <w:rFonts w:ascii="Arial" w:hAnsi="Arial"/>
                <w:b/>
                <w:color w:val="8E3040"/>
                <w:sz w:val="18"/>
              </w:rPr>
              <w:t xml:space="preserve">State the result honestly  </w:t>
            </w:r>
            <w:r>
              <w:rPr>
                <w:rFonts w:ascii="Arial" w:hAnsi="Arial"/>
                <w:color w:val="203451"/>
                <w:sz w:val="18"/>
              </w:rPr>
              <w:t>The latest run reached the aggregation stage but lost an executor during shuffle and stalled while writing. Explain the architecture and observed HDFS evidence, but say the end-to-end Spark result was not verified in that run.</w:t>
            </w:r>
          </w:p>
        </w:tc>
      </w:tr>
    </w:tbl>
    <w:p>
      <w:pPr>
        <w:spacing w:after="20"/>
      </w:pPr>
    </w:p>
    <w:p>
      <w:pPr>
        <w:pStyle w:val="Heading1"/>
      </w:pPr>
      <w:r>
        <w:t>Dashboard highlights</w:t>
      </w:r>
    </w:p>
    <w:p>
      <w:pPr>
        <w:pStyle w:val="ListBullet"/>
        <w:spacing w:after="40"/>
      </w:pPr>
      <w:r>
        <w:t>Country/region coverage is dynamic: the prior dashboard verification displayed 232 processed country records, while the source index contained 246 country-level keys.</w:t>
      </w:r>
    </w:p>
    <w:p>
      <w:pPr>
        <w:pStyle w:val="ListBullet"/>
        <w:spacing w:after="40"/>
      </w:pPr>
      <w:r>
        <w:t>The data explorer reports records, missing values, duplicates, source columns, and metric definitions. A prior view showed 232 rows, 17 missing cells, and no duplicates; these figures may be from older results.</w:t>
      </w:r>
    </w:p>
    <w:p>
      <w:pPr>
        <w:pStyle w:val="ListBullet"/>
        <w:spacing w:after="40"/>
      </w:pPr>
      <w:r>
        <w:t>The dashboard includes country selection, global filters, historical daily/weekly/monthly grouping, map metric controls, custom chart options, exports, and a persistent light/dark theme.</w:t>
      </w:r>
    </w:p>
    <w:p>
      <w:pPr>
        <w:pStyle w:val="ListBullet"/>
        <w:spacing w:after="40"/>
      </w:pPr>
      <w:r>
        <w:t>A legacy field called total_vaccinated has an unclear meaning. The dashboard does not silently call it doses or unique people; the new pipeline schema separates those definitions.</w:t>
      </w:r>
    </w:p>
    <w:p>
      <w:pPr>
        <w:pStyle w:val="Heading1"/>
      </w:pPr>
      <w:r>
        <w:t>Suggested four-minute presentation</w:t>
      </w:r>
    </w:p>
    <w:p>
      <w:pPr>
        <w:pStyle w:val="ListNumber"/>
        <w:spacing w:after="60"/>
      </w:pPr>
      <w:r>
        <w:t>Introduction: Our project applies a Big Data pipeline to public COVID-19 records and keeps storage, distributed processing, and visualization as separate layers.</w:t>
      </w:r>
    </w:p>
    <w:p>
      <w:pPr>
        <w:pStyle w:val="ListNumber"/>
        <w:spacing w:after="60"/>
      </w:pPr>
      <w:r>
        <w:t>Architecture: Docker Compose starts a Hadoop master and two worker nodes, plus Spark master/worker services and a Streamlit dashboard.</w:t>
      </w:r>
    </w:p>
    <w:p>
      <w:pPr>
        <w:pStyle w:val="ListNumber"/>
        <w:spacing w:after="60"/>
      </w:pPr>
      <w:r>
        <w:t>Storage: We place the CSVs in HDFS. The NameNode tracks metadata, while the DataNodes hold replicas. The epidemiology file has four blocks replicated to both workers in the verified input check.</w:t>
      </w:r>
    </w:p>
    <w:p>
      <w:pPr>
        <w:pStyle w:val="ListNumber"/>
        <w:spacing w:after="60"/>
      </w:pPr>
      <w:r>
        <w:t>Processing: PySpark reads HDFS data and groups it into global, country, and date-level analytics. Spark workers register executors so tasks can run across worker containers.</w:t>
      </w:r>
    </w:p>
    <w:p>
      <w:pPr>
        <w:pStyle w:val="ListNumber"/>
        <w:spacing w:after="60"/>
      </w:pPr>
      <w:r>
        <w:t>Visualization: Streamlit reads processed summaries and lets the user compare countries, dates, metrics, and charts. It is not the processing engine.</w:t>
      </w:r>
    </w:p>
    <w:p>
      <w:pPr>
        <w:pStyle w:val="ListNumber"/>
        <w:spacing w:after="60"/>
      </w:pPr>
      <w:r>
        <w:t>Validation: The cluster and HDFS input passed the latest check. The latest Spark job did not finish because an executor was lost during shuffle, so I will not present the existing output as fresh successful analytics.</w:t>
      </w:r>
    </w:p>
    <w:p>
      <w:pPr>
        <w:pStyle w:val="Heading1"/>
      </w:pPr>
      <w:r>
        <w:t>Useful demo commands</w:t>
      </w:r>
    </w:p>
    <w:p>
      <w:pPr>
        <w:keepLines/>
        <w:spacing w:before="40" w:after="140"/>
        <w:ind w:left="173" w:right="115"/>
        <w:shd w:fill="F0F3F6"/>
      </w:pPr>
      <w:r>
        <w:rPr>
          <w:rFonts w:ascii="Consolas" w:hAnsi="Consolas"/>
          <w:color w:val="203451"/>
          <w:sz w:val="16"/>
        </w:rPr>
        <w:t>docker compose ps</w:t>
      </w:r>
      <w:r>
        <w:br/>
      </w:r>
      <w:r>
        <w:rPr>
          <w:rFonts w:ascii="Consolas" w:hAnsi="Consolas"/>
          <w:color w:val="203451"/>
          <w:sz w:val="16"/>
        </w:rPr>
        <w:t>docker exec hadoop-master hdfs dfsadmin -report</w:t>
      </w:r>
      <w:r>
        <w:br/>
      </w:r>
      <w:r>
        <w:rPr>
          <w:rFonts w:ascii="Consolas" w:hAnsi="Consolas"/>
          <w:color w:val="203451"/>
          <w:sz w:val="16"/>
        </w:rPr>
        <w:t>docker exec hadoop-master hdfs dfs -ls /covid/input</w:t>
      </w:r>
      <w:r>
        <w:br/>
      </w:r>
      <w:r>
        <w:rPr>
          <w:rFonts w:ascii="Consolas" w:hAnsi="Consolas"/>
          <w:color w:val="203451"/>
          <w:sz w:val="16"/>
        </w:rPr>
        <w:t>docker exec hadoop-master hdfs fsck /covid/input/epidemiology.csv -files -blocks -locations</w:t>
      </w:r>
      <w:r>
        <w:br/>
      </w:r>
      <w:r>
        <w:rPr>
          <w:rFonts w:ascii="Consolas" w:hAnsi="Consolas"/>
          <w:color w:val="203451"/>
          <w:sz w:val="16"/>
        </w:rPr>
        <w:t>run-analysis.bat -Mode cluster</w:t>
      </w:r>
      <w:r>
        <w:br/>
      </w:r>
      <w:r>
        <w:rPr>
          <w:rFonts w:ascii="Consolas" w:hAnsi="Consolas"/>
          <w:color w:val="203451"/>
          <w:sz w:val="16"/>
        </w:rPr>
        <w:t>docker exec hadoop-master hdfs dfs -ls -R /covid/output</w:t>
      </w:r>
    </w:p>
    <w:p>
      <w:pPr>
        <w:pStyle w:val="Heading1"/>
      </w:pPr>
      <w:r>
        <w:t>Likely questions and answers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3024"/>
            <w:shd w:fill="203451"/>
            <w:tcMar>
              <w:top w:w="90" w:type="dxa"/>
              <w:start w:w="110" w:type="dxa"/>
              <w:bottom w:w="90" w:type="dxa"/>
              <w:end w:w="110" w:type="dxa"/>
            </w:tcMar>
            <w:vAlign w:val="center"/>
          </w:tcPr>
          <w:p>
            <w:r>
              <w:rPr>
                <w:rFonts w:ascii="Arial" w:hAnsi="Arial"/>
                <w:b/>
                <w:color w:val="FFFFFF"/>
                <w:sz w:val="16"/>
              </w:rPr>
              <w:t>Question</w:t>
            </w:r>
          </w:p>
        </w:tc>
        <w:tc>
          <w:tcPr>
            <w:tcW w:type="dxa" w:w="6336"/>
            <w:shd w:fill="203451"/>
            <w:tcMar>
              <w:top w:w="90" w:type="dxa"/>
              <w:start w:w="110" w:type="dxa"/>
              <w:bottom w:w="90" w:type="dxa"/>
              <w:end w:w="110" w:type="dxa"/>
            </w:tcMar>
            <w:vAlign w:val="center"/>
          </w:tcPr>
          <w:p>
            <w:r>
              <w:rPr>
                <w:rFonts w:ascii="Arial" w:hAnsi="Arial"/>
                <w:b/>
                <w:color w:val="FFFFFF"/>
                <w:sz w:val="16"/>
              </w:rPr>
              <w:t>Clear answer</w:t>
            </w:r>
          </w:p>
        </w:tc>
      </w:tr>
      <w:tr>
        <w:trPr>
          <w:cantSplit/>
        </w:trPr>
        <w:tc>
          <w:tcPr>
            <w:tcW w:type="dxa" w:w="3024"/>
            <w:tcMar>
              <w:top w:w="90" w:type="dxa"/>
              <w:start w:w="110" w:type="dxa"/>
              <w:bottom w:w="90" w:type="dxa"/>
              <w:end w:w="110" w:type="dxa"/>
            </w:tcMar>
            <w:vAlign w:val="center"/>
          </w:tcPr>
          <w:p>
            <w:pPr>
              <w:spacing w:after="0" w:line="240" w:lineRule="auto"/>
            </w:pPr>
            <w:r>
              <w:rPr>
                <w:rFonts w:ascii="Arial" w:hAnsi="Arial"/>
                <w:color w:val="203451"/>
                <w:sz w:val="16"/>
              </w:rPr>
              <w:t>Why use HDFS?</w:t>
            </w:r>
          </w:p>
        </w:tc>
        <w:tc>
          <w:tcPr>
            <w:tcW w:type="dxa" w:w="6336"/>
            <w:tcMar>
              <w:top w:w="90" w:type="dxa"/>
              <w:start w:w="110" w:type="dxa"/>
              <w:bottom w:w="90" w:type="dxa"/>
              <w:end w:w="110" w:type="dxa"/>
            </w:tcMar>
            <w:vAlign w:val="center"/>
          </w:tcPr>
          <w:p>
            <w:pPr>
              <w:spacing w:after="0" w:line="240" w:lineRule="auto"/>
            </w:pPr>
            <w:r>
              <w:rPr>
                <w:rFonts w:ascii="Arial" w:hAnsi="Arial"/>
                <w:color w:val="203451"/>
                <w:sz w:val="16"/>
              </w:rPr>
              <w:t>It stores large inputs in blocks and replicates blocks across DataNodes, providing distributed storage rather than copies mounted into containers.</w:t>
            </w:r>
          </w:p>
        </w:tc>
      </w:tr>
      <w:tr>
        <w:trPr>
          <w:cantSplit/>
        </w:trPr>
        <w:tc>
          <w:tcPr>
            <w:tcW w:type="dxa" w:w="3024"/>
            <w:tcMar>
              <w:top w:w="90" w:type="dxa"/>
              <w:start w:w="110" w:type="dxa"/>
              <w:bottom w:w="90" w:type="dxa"/>
              <w:end w:w="110" w:type="dxa"/>
            </w:tcMar>
            <w:vAlign w:val="center"/>
            <w:shd w:fill="F7F9FB"/>
          </w:tcPr>
          <w:p>
            <w:pPr>
              <w:spacing w:after="0" w:line="240" w:lineRule="auto"/>
            </w:pPr>
            <w:r>
              <w:rPr>
                <w:rFonts w:ascii="Arial" w:hAnsi="Arial"/>
                <w:color w:val="203451"/>
                <w:sz w:val="16"/>
              </w:rPr>
              <w:t>Why Spark?</w:t>
            </w:r>
          </w:p>
        </w:tc>
        <w:tc>
          <w:tcPr>
            <w:tcW w:type="dxa" w:w="6336"/>
            <w:tcMar>
              <w:top w:w="90" w:type="dxa"/>
              <w:start w:w="110" w:type="dxa"/>
              <w:bottom w:w="90" w:type="dxa"/>
              <w:end w:w="110" w:type="dxa"/>
            </w:tcMar>
            <w:vAlign w:val="center"/>
            <w:shd w:fill="F7F9FB"/>
          </w:tcPr>
          <w:p>
            <w:pPr>
              <w:spacing w:after="0" w:line="240" w:lineRule="auto"/>
            </w:pPr>
            <w:r>
              <w:rPr>
                <w:rFonts w:ascii="Arial" w:hAnsi="Arial"/>
                <w:color w:val="203451"/>
                <w:sz w:val="16"/>
              </w:rPr>
              <w:t>The project uses PySpark DataFrame transformations and aggregations over the HDFS source tables; Streamlit is only the presentation layer.</w:t>
            </w:r>
          </w:p>
        </w:tc>
      </w:tr>
      <w:tr>
        <w:trPr>
          <w:cantSplit/>
        </w:trPr>
        <w:tc>
          <w:tcPr>
            <w:tcW w:type="dxa" w:w="3024"/>
            <w:tcMar>
              <w:top w:w="90" w:type="dxa"/>
              <w:start w:w="110" w:type="dxa"/>
              <w:bottom w:w="90" w:type="dxa"/>
              <w:end w:w="110" w:type="dxa"/>
            </w:tcMar>
            <w:vAlign w:val="center"/>
          </w:tcPr>
          <w:p>
            <w:pPr>
              <w:spacing w:after="0" w:line="240" w:lineRule="auto"/>
            </w:pPr>
            <w:r>
              <w:rPr>
                <w:rFonts w:ascii="Arial" w:hAnsi="Arial"/>
                <w:color w:val="203451"/>
                <w:sz w:val="16"/>
              </w:rPr>
              <w:t>Is this a three-machine cluster?</w:t>
            </w:r>
          </w:p>
        </w:tc>
        <w:tc>
          <w:tcPr>
            <w:tcW w:type="dxa" w:w="6336"/>
            <w:tcMar>
              <w:top w:w="90" w:type="dxa"/>
              <w:start w:w="110" w:type="dxa"/>
              <w:bottom w:w="90" w:type="dxa"/>
              <w:end w:w="110" w:type="dxa"/>
            </w:tcMar>
            <w:vAlign w:val="center"/>
          </w:tcPr>
          <w:p>
            <w:pPr>
              <w:spacing w:after="0" w:line="240" w:lineRule="auto"/>
            </w:pPr>
            <w:r>
              <w:rPr>
                <w:rFonts w:ascii="Arial" w:hAnsi="Arial"/>
                <w:color w:val="203451"/>
                <w:sz w:val="16"/>
              </w:rPr>
              <w:t>No. It is a 3-node Hadoop cluster represented by containers on one Docker host. The worker roles and distributed block locations are real within that cluster.</w:t>
            </w:r>
          </w:p>
        </w:tc>
      </w:tr>
      <w:tr>
        <w:trPr>
          <w:cantSplit/>
        </w:trPr>
        <w:tc>
          <w:tcPr>
            <w:tcW w:type="dxa" w:w="3024"/>
            <w:tcMar>
              <w:top w:w="90" w:type="dxa"/>
              <w:start w:w="110" w:type="dxa"/>
              <w:bottom w:w="90" w:type="dxa"/>
              <w:end w:w="110" w:type="dxa"/>
            </w:tcMar>
            <w:vAlign w:val="center"/>
            <w:shd w:fill="F7F9FB"/>
          </w:tcPr>
          <w:p>
            <w:pPr>
              <w:spacing w:after="0" w:line="240" w:lineRule="auto"/>
            </w:pPr>
            <w:r>
              <w:rPr>
                <w:rFonts w:ascii="Arial" w:hAnsi="Arial"/>
                <w:color w:val="203451"/>
                <w:sz w:val="16"/>
              </w:rPr>
              <w:t>What does replication factor two mean?</w:t>
            </w:r>
          </w:p>
        </w:tc>
        <w:tc>
          <w:tcPr>
            <w:tcW w:type="dxa" w:w="6336"/>
            <w:tcMar>
              <w:top w:w="90" w:type="dxa"/>
              <w:start w:w="110" w:type="dxa"/>
              <w:bottom w:w="90" w:type="dxa"/>
              <w:end w:w="110" w:type="dxa"/>
            </w:tcMar>
            <w:vAlign w:val="center"/>
            <w:shd w:fill="F7F9FB"/>
          </w:tcPr>
          <w:p>
            <w:pPr>
              <w:spacing w:after="0" w:line="240" w:lineRule="auto"/>
            </w:pPr>
            <w:r>
              <w:rPr>
                <w:rFonts w:ascii="Arial" w:hAnsi="Arial"/>
                <w:color w:val="203451"/>
                <w:sz w:val="16"/>
              </w:rPr>
              <w:t>HDFS keeps two copies of each block. The checked epidemiology blocks were located on both worker DataNodes.</w:t>
            </w:r>
          </w:p>
        </w:tc>
      </w:tr>
      <w:tr>
        <w:trPr>
          <w:cantSplit/>
        </w:trPr>
        <w:tc>
          <w:tcPr>
            <w:tcW w:type="dxa" w:w="3024"/>
            <w:tcMar>
              <w:top w:w="90" w:type="dxa"/>
              <w:start w:w="110" w:type="dxa"/>
              <w:bottom w:w="90" w:type="dxa"/>
              <w:end w:w="110" w:type="dxa"/>
            </w:tcMar>
            <w:vAlign w:val="center"/>
          </w:tcPr>
          <w:p>
            <w:pPr>
              <w:spacing w:after="0" w:line="240" w:lineRule="auto"/>
            </w:pPr>
            <w:r>
              <w:rPr>
                <w:rFonts w:ascii="Arial" w:hAnsi="Arial"/>
                <w:color w:val="203451"/>
                <w:sz w:val="16"/>
              </w:rPr>
              <w:t>Does total_vaccinated mean doses?</w:t>
            </w:r>
          </w:p>
        </w:tc>
        <w:tc>
          <w:tcPr>
            <w:tcW w:type="dxa" w:w="6336"/>
            <w:tcMar>
              <w:top w:w="90" w:type="dxa"/>
              <w:start w:w="110" w:type="dxa"/>
              <w:bottom w:w="90" w:type="dxa"/>
              <w:end w:w="110" w:type="dxa"/>
            </w:tcMar>
            <w:vAlign w:val="center"/>
          </w:tcPr>
          <w:p>
            <w:pPr>
              <w:spacing w:after="0" w:line="240" w:lineRule="auto"/>
            </w:pPr>
            <w:r>
              <w:rPr>
                <w:rFonts w:ascii="Arial" w:hAnsi="Arial"/>
                <w:color w:val="203451"/>
                <w:sz w:val="16"/>
              </w:rPr>
              <w:t>Not necessarily. The legacy field has no guaranteed definition. The updated data contract separates people vaccinated from doses administered.</w:t>
            </w:r>
          </w:p>
        </w:tc>
      </w:tr>
      <w:tr>
        <w:trPr>
          <w:cantSplit/>
        </w:trPr>
        <w:tc>
          <w:tcPr>
            <w:tcW w:type="dxa" w:w="3024"/>
            <w:tcMar>
              <w:top w:w="90" w:type="dxa"/>
              <w:start w:w="110" w:type="dxa"/>
              <w:bottom w:w="90" w:type="dxa"/>
              <w:end w:w="110" w:type="dxa"/>
            </w:tcMar>
            <w:vAlign w:val="center"/>
            <w:shd w:fill="F7F9FB"/>
          </w:tcPr>
          <w:p>
            <w:pPr>
              <w:spacing w:after="0" w:line="240" w:lineRule="auto"/>
            </w:pPr>
            <w:r>
              <w:rPr>
                <w:rFonts w:ascii="Arial" w:hAnsi="Arial"/>
                <w:color w:val="203451"/>
                <w:sz w:val="16"/>
              </w:rPr>
              <w:t>Did the Spark job finish?</w:t>
            </w:r>
          </w:p>
        </w:tc>
        <w:tc>
          <w:tcPr>
            <w:tcW w:type="dxa" w:w="6336"/>
            <w:tcMar>
              <w:top w:w="90" w:type="dxa"/>
              <w:start w:w="110" w:type="dxa"/>
              <w:bottom w:w="90" w:type="dxa"/>
              <w:end w:w="110" w:type="dxa"/>
            </w:tcMar>
            <w:vAlign w:val="center"/>
            <w:shd w:fill="F7F9FB"/>
          </w:tcPr>
          <w:p>
            <w:pPr>
              <w:spacing w:after="0" w:line="240" w:lineRule="auto"/>
            </w:pPr>
            <w:r>
              <w:rPr>
                <w:rFonts w:ascii="Arial" w:hAnsi="Arial"/>
                <w:color w:val="203451"/>
                <w:sz w:val="16"/>
              </w:rPr>
              <w:t>The latest attempt registered two worker executors and prepared aggregations but lost an executor during shuffle; it did not produce a verified successful run.</w:t>
            </w:r>
          </w:p>
        </w:tc>
      </w:tr>
      <w:tr>
        <w:trPr>
          <w:cantSplit/>
        </w:trPr>
        <w:tc>
          <w:tcPr>
            <w:tcW w:type="dxa" w:w="3024"/>
            <w:tcMar>
              <w:top w:w="90" w:type="dxa"/>
              <w:start w:w="110" w:type="dxa"/>
              <w:bottom w:w="90" w:type="dxa"/>
              <w:end w:w="110" w:type="dxa"/>
            </w:tcMar>
            <w:vAlign w:val="center"/>
          </w:tcPr>
          <w:p>
            <w:pPr>
              <w:spacing w:after="0" w:line="240" w:lineRule="auto"/>
            </w:pPr>
            <w:r>
              <w:rPr>
                <w:rFonts w:ascii="Arial" w:hAnsi="Arial"/>
                <w:color w:val="203451"/>
                <w:sz w:val="16"/>
              </w:rPr>
              <w:t>Why keep Streamlit?</w:t>
            </w:r>
          </w:p>
        </w:tc>
        <w:tc>
          <w:tcPr>
            <w:tcW w:type="dxa" w:w="6336"/>
            <w:tcMar>
              <w:top w:w="90" w:type="dxa"/>
              <w:start w:w="110" w:type="dxa"/>
              <w:bottom w:w="90" w:type="dxa"/>
              <w:end w:w="110" w:type="dxa"/>
            </w:tcMar>
            <w:vAlign w:val="center"/>
          </w:tcPr>
          <w:p>
            <w:pPr>
              <w:spacing w:after="0" w:line="240" w:lineRule="auto"/>
            </w:pPr>
            <w:r>
              <w:rPr>
                <w:rFonts w:ascii="Arial" w:hAnsi="Arial"/>
                <w:color w:val="203451"/>
                <w:sz w:val="16"/>
              </w:rPr>
              <w:t>It makes processed analytics explorable through filters, charts, map controls, and data-quality views without moving distributed processing into the UI.</w:t>
            </w:r>
          </w:p>
        </w:tc>
      </w:tr>
    </w:tbl>
    <w:p>
      <w:pPr>
        <w:spacing w:after="20"/>
      </w:pPr>
    </w:p>
    <w:p>
      <w:pPr>
        <w:pStyle w:val="Heading1"/>
      </w:pPr>
      <w:r>
        <w:t>Presentation discipline</w:t>
      </w:r>
    </w:p>
    <w:p>
      <w:pPr>
        <w:pStyle w:val="ListBullet"/>
        <w:spacing w:after="40"/>
      </w:pPr>
      <w:r>
        <w:t>Show live command output. Do not manufacture terminal output or screenshots.</w:t>
      </w:r>
    </w:p>
    <w:p>
      <w:pPr>
        <w:pStyle w:val="ListBullet"/>
        <w:spacing w:after="40"/>
      </w:pPr>
      <w:r>
        <w:t>Distinguish a healthy HDFS input file from the overall report's four under-replicated block counter.</w:t>
      </w:r>
    </w:p>
    <w:p>
      <w:pPr>
        <w:pStyle w:val="ListBullet"/>
        <w:spacing w:after="40"/>
      </w:pPr>
      <w:r>
        <w:t>Call the dashboard country count a processed-result count (232 in the prior check), not the source index count (246).</w:t>
      </w:r>
    </w:p>
    <w:p>
      <w:pPr>
        <w:pStyle w:val="ListBullet"/>
        <w:spacing w:after="40"/>
      </w:pPr>
      <w:r>
        <w:t>State the Spark failure and avoid describing old output as a result of the latest run.</w:t>
      </w:r>
    </w:p>
    <w:sectPr w:rsidR="00FC693F" w:rsidRPr="0006063C" w:rsidSect="00034616">
      <w:headerReference w:type="default" r:id="rId9"/>
      <w:footerReference w:type="default" r:id="rId10"/>
      <w:pgSz w:w="12240" w:h="15840"/>
      <w:pgMar w:top="1037" w:right="1181" w:bottom="979"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6579"/>
        <w:sz w:val="16"/>
      </w:rPr>
      <w:t xml:space="preserve">Professor briefing   •   Page </w:t>
    </w:r>
    <w:r>
      <w:rPr>
        <w:rFonts w:ascii="Arial" w:hAnsi="Arial"/>
        <w:color w:val="596579"/>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96579"/>
        <w:sz w:val="16"/>
      </w:rPr>
      <w:t>NIRMA UNIVERSITY  |  4CS101ME25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0345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203451"/>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315B84"/>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8E3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contextualSpacing/>
    </w:pPr>
    <w:rPr>
      <w:rFonts w:asciiTheme="majorHAnsi" w:eastAsiaTheme="majorEastAsia" w:hAnsiTheme="majorHAnsi" w:cstheme="majorBidi" w:ascii="Arial" w:hAnsi="Arial"/>
      <w:b/>
      <w:color w:val="2034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