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jc w:val="center"/>
      </w:pPr>
      <w:r>
        <w:drawing>
          <wp:inline xmlns:a="http://schemas.openxmlformats.org/drawingml/2006/main" xmlns:pic="http://schemas.openxmlformats.org/drawingml/2006/picture">
            <wp:extent cx="1965960" cy="1050772"/>
            <wp:docPr id="1" name="Picture 1"/>
            <wp:cNvGraphicFramePr>
              <a:graphicFrameLocks noChangeAspect="1"/>
            </wp:cNvGraphicFramePr>
            <a:graphic>
              <a:graphicData uri="http://schemas.openxmlformats.org/drawingml/2006/picture">
                <pic:pic>
                  <pic:nvPicPr>
                    <pic:cNvPr id="0" name="nirma_logo.png"/>
                    <pic:cNvPicPr/>
                  </pic:nvPicPr>
                  <pic:blipFill>
                    <a:blip r:embed="rId11"/>
                    <a:stretch>
                      <a:fillRect/>
                    </a:stretch>
                  </pic:blipFill>
                  <pic:spPr>
                    <a:xfrm>
                      <a:off x="0" y="0"/>
                      <a:ext cx="1965960" cy="1050772"/>
                    </a:xfrm>
                    <a:prstGeom prst="rect"/>
                  </pic:spPr>
                </pic:pic>
              </a:graphicData>
            </a:graphic>
          </wp:inline>
        </w:drawing>
      </w:r>
    </w:p>
    <w:p>
      <w:pPr>
        <w:spacing w:after="60"/>
        <w:jc w:val="center"/>
      </w:pPr>
      <w:r>
        <w:rPr>
          <w:rFonts w:ascii="Arial" w:hAnsi="Arial"/>
          <w:b/>
          <w:color w:val="203451"/>
          <w:sz w:val="30"/>
        </w:rPr>
        <w:t>NIRMA UNIVERSITY</w:t>
      </w:r>
    </w:p>
    <w:p>
      <w:pPr>
        <w:spacing w:after="340"/>
        <w:jc w:val="center"/>
      </w:pPr>
      <w:r>
        <w:rPr>
          <w:rFonts w:ascii="Arial" w:hAnsi="Arial"/>
          <w:b/>
          <w:color w:val="596579"/>
          <w:sz w:val="20"/>
        </w:rPr>
        <w:t>INSTITUTE OF TECHNOLOGY</w:t>
      </w:r>
    </w:p>
    <w:p>
      <w:pPr>
        <w:pStyle w:val="Title"/>
        <w:jc w:val="center"/>
      </w:pPr>
      <w:r>
        <w:t>COVID 19 Big Data Analytics</w:t>
      </w:r>
    </w:p>
    <w:p>
      <w:pPr>
        <w:spacing w:after="340"/>
        <w:jc w:val="center"/>
      </w:pPr>
      <w:r>
        <w:rPr>
          <w:rFonts w:ascii="Arial" w:hAnsi="Arial"/>
          <w:color w:val="315B84"/>
          <w:sz w:val="24"/>
        </w:rPr>
        <w:t>A distributed storage and analytics platform using Hadoop, Apache Spark, and Streamlit</w:t>
      </w:r>
    </w:p>
    <w:tbl>
      <w:tblPr>
        <w:tblW w:type="auto" w:w="0"/>
        <w:jc w:val="center"/>
        <w:tblLayout w:type="fixed"/>
        <w:tblLook w:firstColumn="1" w:firstRow="1" w:lastColumn="0" w:lastRow="0" w:noHBand="0" w:noVBand="1" w:val="04A0"/>
      </w:tblPr>
      <w:tblGrid>
        <w:gridCol w:w="2376"/>
        <w:gridCol w:w="6264"/>
      </w:tblGrid>
      <w:tr>
        <w:trPr>
          <w:cantSplit/>
        </w:trPr>
        <w:tc>
          <w:tcPr>
            <w:tcW w:type="dxa" w:w="4939"/>
            <w:tcMar>
              <w:top w:w="120" w:type="dxa"/>
              <w:start w:w="110" w:type="dxa"/>
              <w:bottom w:w="120" w:type="dxa"/>
              <w:end w:w="110" w:type="dxa"/>
            </w:tcMar>
            <w:vAlign w:val="center"/>
            <w:shd w:fill="203451"/>
          </w:tcPr>
          <w:p>
            <w:r>
              <w:rPr>
                <w:rFonts w:ascii="Arial" w:hAnsi="Arial"/>
                <w:b/>
                <w:color w:val="FFFFFF"/>
                <w:sz w:val="18"/>
              </w:rPr>
              <w:t>Subject</w:t>
            </w:r>
          </w:p>
        </w:tc>
        <w:tc>
          <w:tcPr>
            <w:tcW w:type="dxa" w:w="4939"/>
            <w:tcMar>
              <w:top w:w="120" w:type="dxa"/>
              <w:start w:w="110" w:type="dxa"/>
              <w:bottom w:w="120" w:type="dxa"/>
              <w:end w:w="110" w:type="dxa"/>
            </w:tcMar>
            <w:vAlign w:val="center"/>
            <w:shd w:fill="F2F5F8"/>
          </w:tcPr>
          <w:p>
            <w:r>
              <w:rPr>
                <w:rFonts w:ascii="Arial" w:hAnsi="Arial"/>
                <w:b/>
                <w:color w:val="203451"/>
                <w:sz w:val="18"/>
              </w:rPr>
              <w:t>4CS101ME25 - Big Data Systems</w:t>
            </w:r>
          </w:p>
        </w:tc>
      </w:tr>
      <w:tr>
        <w:trPr>
          <w:cantSplit/>
        </w:trPr>
        <w:tc>
          <w:tcPr>
            <w:tcW w:type="dxa" w:w="4939"/>
            <w:tcMar>
              <w:top w:w="120" w:type="dxa"/>
              <w:start w:w="110" w:type="dxa"/>
              <w:bottom w:w="120" w:type="dxa"/>
              <w:end w:w="110" w:type="dxa"/>
            </w:tcMar>
            <w:vAlign w:val="center"/>
            <w:shd w:fill="203451"/>
          </w:tcPr>
          <w:p>
            <w:r>
              <w:rPr>
                <w:rFonts w:ascii="Arial" w:hAnsi="Arial"/>
                <w:b/>
                <w:color w:val="FFFFFF"/>
                <w:sz w:val="18"/>
              </w:rPr>
              <w:t>Document</w:t>
            </w:r>
          </w:p>
        </w:tc>
        <w:tc>
          <w:tcPr>
            <w:tcW w:type="dxa" w:w="4939"/>
            <w:tcMar>
              <w:top w:w="120" w:type="dxa"/>
              <w:start w:w="110" w:type="dxa"/>
              <w:bottom w:w="120" w:type="dxa"/>
              <w:end w:w="110" w:type="dxa"/>
            </w:tcMar>
            <w:vAlign w:val="center"/>
            <w:shd w:fill="F2F5F8"/>
          </w:tcPr>
          <w:p>
            <w:r>
              <w:rPr>
                <w:rFonts w:ascii="Arial" w:hAnsi="Arial"/>
                <w:b/>
                <w:color w:val="203451"/>
                <w:sz w:val="18"/>
              </w:rPr>
              <w:t>Academic project report</w:t>
            </w:r>
          </w:p>
        </w:tc>
      </w:tr>
      <w:tr>
        <w:trPr>
          <w:cantSplit/>
        </w:trPr>
        <w:tc>
          <w:tcPr>
            <w:tcW w:type="dxa" w:w="4939"/>
            <w:tcMar>
              <w:top w:w="120" w:type="dxa"/>
              <w:start w:w="110" w:type="dxa"/>
              <w:bottom w:w="120" w:type="dxa"/>
              <w:end w:w="110" w:type="dxa"/>
            </w:tcMar>
            <w:vAlign w:val="center"/>
            <w:shd w:fill="203451"/>
          </w:tcPr>
          <w:p>
            <w:r>
              <w:rPr>
                <w:rFonts w:ascii="Arial" w:hAnsi="Arial"/>
                <w:b/>
                <w:color w:val="FFFFFF"/>
                <w:sz w:val="18"/>
              </w:rPr>
              <w:t>Prepared</w:t>
            </w:r>
          </w:p>
        </w:tc>
        <w:tc>
          <w:tcPr>
            <w:tcW w:type="dxa" w:w="4939"/>
            <w:tcMar>
              <w:top w:w="120" w:type="dxa"/>
              <w:start w:w="110" w:type="dxa"/>
              <w:bottom w:w="120" w:type="dxa"/>
              <w:end w:w="110" w:type="dxa"/>
            </w:tcMar>
            <w:vAlign w:val="center"/>
            <w:shd w:fill="F2F5F8"/>
          </w:tcPr>
          <w:p>
            <w:r>
              <w:rPr>
                <w:rFonts w:ascii="Arial" w:hAnsi="Arial"/>
                <w:b/>
                <w:color w:val="203451"/>
                <w:sz w:val="18"/>
              </w:rPr>
              <w:t>2 October 2026</w:t>
            </w:r>
          </w:p>
        </w:tc>
      </w:tr>
    </w:tbl>
    <w:p>
      <w:pPr>
        <w:spacing w:before="280"/>
        <w:jc w:val="center"/>
      </w:pPr>
      <w:r>
        <w:rPr>
          <w:rFonts w:ascii="Arial" w:hAnsi="Arial"/>
          <w:b/>
          <w:color w:val="203451"/>
          <w:sz w:val="19"/>
        </w:rPr>
        <w:t>Submitted by: Fenil Chodvadiya (Lead), Sarth Narola, Aayush Savaliya</w:t>
      </w:r>
    </w:p>
    <w:p>
      <w:pPr>
        <w:jc w:val="center"/>
      </w:pPr>
      <w:r>
        <w:rPr>
          <w:rFonts w:ascii="Arial" w:hAnsi="Arial"/>
          <w:color w:val="596579"/>
          <w:sz w:val="18"/>
        </w:rPr>
        <w:t>Department of Computer Science &amp; Engineering  •  Institute of Technology</w:t>
      </w:r>
    </w:p>
    <w:p>
      <w:pPr>
        <w:jc w:val="center"/>
      </w:pPr>
      <w:r>
        <w:rPr>
          <w:rFonts w:ascii="Arial" w:hAnsi="Arial"/>
          <w:b/>
          <w:color w:val="315B84"/>
          <w:sz w:val="18"/>
        </w:rPr>
        <w:t>Subject: 4CS101ME25 - Big Data Systems</w:t>
      </w:r>
    </w:p>
    <w:p>
      <w:r>
        <w:br w:type="page"/>
      </w:r>
    </w:p>
    <w:p>
      <w:pPr>
        <w:pStyle w:val="Heading1"/>
      </w:pPr>
      <w:r>
        <w:t>Abstract</w:t>
      </w:r>
    </w:p>
    <w:p>
      <w:r>
        <w:t>This report presents a Docker-based COVID-19 analytics project that combines HDFS, a three-node Hadoop cluster, Apache Spark, and a Streamlit dashboard. Public CSV datasets are uploaded to HDFS, replicated across two DataNodes, and read by a PySpark job designed to produce global, country, date, vaccination, hospitalization, and regional summaries. The dashboard presents processed results and data-quality information. The infrastructure and HDFS input were verified on 2 October 2026. The latest Spark standalone attempt registered executors on both workers and prepared the aggregate computations, but an executor was lost during shuffle and the run did not finish. Accordingly, this report distinguishes verified infrastructure from unverified current analytics output.</w:t>
      </w:r>
    </w:p>
    <w:p>
      <w:r>
        <w:rPr>
          <w:rFonts w:ascii="Arial" w:hAnsi="Arial"/>
          <w:b/>
          <w:color w:val="315B84"/>
          <w:sz w:val="18"/>
        </w:rPr>
        <w:t xml:space="preserve">Keywords: </w:t>
      </w:r>
      <w:r>
        <w:rPr>
          <w:rFonts w:ascii="Arial" w:hAnsi="Arial"/>
          <w:color w:val="203451"/>
          <w:sz w:val="18"/>
        </w:rPr>
        <w:t>Big Data, HDFS, Hadoop, Apache Spark, PySpark, Docker Compose, Streamlit, COVID-19</w:t>
      </w:r>
    </w:p>
    <w:p>
      <w:pPr>
        <w:pStyle w:val="Heading1"/>
      </w:pPr>
      <w:r>
        <w:t>1. Introduction</w:t>
      </w:r>
    </w:p>
    <w:p>
      <w:r>
        <w:t>The project demonstrates how a large public health dataset can move through distributed storage, distributed processing, and a visualization layer. The existing Python and Streamlit application is retained. Hadoop and Spark services are added as containers so the system can be inspected and demonstrated using standard cluster and HDFS commands.</w:t>
      </w:r>
    </w:p>
    <w:p>
      <w:pPr>
        <w:pStyle w:val="Heading2"/>
      </w:pPr>
      <w:r>
        <w:t>1.1 Problem statement</w:t>
      </w:r>
    </w:p>
    <w:p>
      <w:r>
        <w:t>A local-only script can calculate summaries but does not demonstrate distributed storage or processing. This project addresses that gap by placing source files in HDFS, providing two DataNode workers, and submitting PySpark computations through a Spark master with two worker containers.</w:t>
      </w:r>
    </w:p>
    <w:p>
      <w:pPr>
        <w:pStyle w:val="Heading2"/>
      </w:pPr>
      <w:r>
        <w:t>1.2 Objectives</w:t>
      </w:r>
    </w:p>
    <w:p>
      <w:pPr>
        <w:pStyle w:val="ListBullet"/>
        <w:spacing w:after="40"/>
      </w:pPr>
      <w:r>
        <w:t>Retain and run the existing Streamlit dashboard in Docker.</w:t>
      </w:r>
    </w:p>
    <w:p>
      <w:pPr>
        <w:pStyle w:val="ListBullet"/>
        <w:spacing w:after="40"/>
      </w:pPr>
      <w:r>
        <w:t>Configure one Hadoop master and two workers with NameNode, ResourceManager, DataNode, and NodeManager roles.</w:t>
      </w:r>
    </w:p>
    <w:p>
      <w:pPr>
        <w:pStyle w:val="ListBullet"/>
        <w:spacing w:after="40"/>
      </w:pPr>
      <w:r>
        <w:t>Store source CSV files in HDFS with replication across the DataNodes.</w:t>
      </w:r>
    </w:p>
    <w:p>
      <w:pPr>
        <w:pStyle w:val="ListBullet"/>
        <w:spacing w:after="40"/>
      </w:pPr>
      <w:r>
        <w:t>Use Apache Spark to prepare COVID-19 global, country, and date-level analytics.</w:t>
      </w:r>
    </w:p>
    <w:p>
      <w:pPr>
        <w:pStyle w:val="ListBullet"/>
        <w:spacing w:after="40"/>
      </w:pPr>
      <w:r>
        <w:t>Provide processed summaries to Streamlit without using Streamlit as the distributed engine.</w:t>
      </w:r>
    </w:p>
    <w:p>
      <w:pPr>
        <w:pStyle w:val="ListBullet"/>
        <w:spacing w:after="40"/>
      </w:pPr>
      <w:r>
        <w:t>Document repeatable setup, verification, presentation, and operational commands.</w:t>
      </w:r>
    </w:p>
    <w:p>
      <w:pPr>
        <w:pStyle w:val="Heading1"/>
      </w:pPr>
      <w:r>
        <w:t>2. System architecture</w:t>
      </w:r>
    </w:p>
    <w:p>
      <w:pPr>
        <w:keepLines/>
        <w:spacing w:before="40" w:after="140"/>
        <w:ind w:left="173" w:right="115"/>
        <w:shd w:fill="F0F3F6"/>
      </w:pPr>
      <w:r>
        <w:rPr>
          <w:rFonts w:ascii="Consolas" w:hAnsi="Consolas"/>
          <w:color w:val="203451"/>
          <w:sz w:val="16"/>
        </w:rPr>
        <w:t>COVID-19 Open Data CSVs</w:t>
      </w:r>
      <w:r>
        <w:br/>
      </w:r>
      <w:r>
        <w:rPr>
          <w:rFonts w:ascii="Consolas" w:hAnsi="Consolas"/>
          <w:color w:val="203451"/>
          <w:sz w:val="16"/>
        </w:rPr>
        <w:t xml:space="preserve">        | download and upload</w:t>
      </w:r>
      <w:r>
        <w:br/>
      </w:r>
      <w:r>
        <w:rPr>
          <w:rFonts w:ascii="Consolas" w:hAnsi="Consolas"/>
          <w:color w:val="203451"/>
          <w:sz w:val="16"/>
        </w:rPr>
        <w:t xml:space="preserve">        v</w:t>
      </w:r>
      <w:r>
        <w:br/>
      </w:r>
      <w:r>
        <w:rPr>
          <w:rFonts w:ascii="Consolas" w:hAnsi="Consolas"/>
          <w:color w:val="203451"/>
          <w:sz w:val="16"/>
        </w:rPr>
        <w:t>HDFS /covid/input  (replication factor 2)</w:t>
      </w:r>
      <w:r>
        <w:br/>
      </w:r>
      <w:r>
        <w:rPr>
          <w:rFonts w:ascii="Consolas" w:hAnsi="Consolas"/>
          <w:color w:val="203451"/>
          <w:sz w:val="16"/>
        </w:rPr>
        <w:t xml:space="preserve">        |</w:t>
      </w:r>
      <w:r>
        <w:br/>
      </w:r>
      <w:r>
        <w:rPr>
          <w:rFonts w:ascii="Consolas" w:hAnsi="Consolas"/>
          <w:color w:val="203451"/>
          <w:sz w:val="16"/>
        </w:rPr>
        <w:t xml:space="preserve">        +--- Hadoop master: NameNode + ResourceManager</w:t>
      </w:r>
      <w:r>
        <w:br/>
      </w:r>
      <w:r>
        <w:rPr>
          <w:rFonts w:ascii="Consolas" w:hAnsi="Consolas"/>
          <w:color w:val="203451"/>
          <w:sz w:val="16"/>
        </w:rPr>
        <w:t xml:space="preserve">        +--- Worker 1: DataNode + NodeManager</w:t>
      </w:r>
      <w:r>
        <w:br/>
      </w:r>
      <w:r>
        <w:rPr>
          <w:rFonts w:ascii="Consolas" w:hAnsi="Consolas"/>
          <w:color w:val="203451"/>
          <w:sz w:val="16"/>
        </w:rPr>
        <w:t xml:space="preserve">        +--- Worker 2: DataNode + NodeManager</w:t>
      </w:r>
      <w:r>
        <w:br/>
      </w:r>
      <w:r>
        <w:rPr>
          <w:rFonts w:ascii="Consolas" w:hAnsi="Consolas"/>
          <w:color w:val="203451"/>
          <w:sz w:val="16"/>
        </w:rPr>
        <w:t xml:space="preserve">        |</w:t>
      </w:r>
      <w:r>
        <w:br/>
      </w:r>
      <w:r>
        <w:rPr>
          <w:rFonts w:ascii="Consolas" w:hAnsi="Consolas"/>
          <w:color w:val="203451"/>
          <w:sz w:val="16"/>
        </w:rPr>
        <w:t xml:space="preserve">        v</w:t>
      </w:r>
      <w:r>
        <w:br/>
      </w:r>
      <w:r>
        <w:rPr>
          <w:rFonts w:ascii="Consolas" w:hAnsi="Consolas"/>
          <w:color w:val="203451"/>
          <w:sz w:val="16"/>
        </w:rPr>
        <w:t>Apache Spark job on Spark master + two Spark workers</w:t>
      </w:r>
      <w:r>
        <w:br/>
      </w:r>
      <w:r>
        <w:rPr>
          <w:rFonts w:ascii="Consolas" w:hAnsi="Consolas"/>
          <w:color w:val="203451"/>
          <w:sz w:val="16"/>
        </w:rPr>
        <w:t xml:space="preserve">        |</w:t>
      </w:r>
      <w:r>
        <w:br/>
      </w:r>
      <w:r>
        <w:rPr>
          <w:rFonts w:ascii="Consolas" w:hAnsi="Consolas"/>
          <w:color w:val="203451"/>
          <w:sz w:val="16"/>
        </w:rPr>
        <w:t xml:space="preserve">        v</w:t>
      </w:r>
      <w:r>
        <w:br/>
      </w:r>
      <w:r>
        <w:rPr>
          <w:rFonts w:ascii="Consolas" w:hAnsi="Consolas"/>
          <w:color w:val="203451"/>
          <w:sz w:val="16"/>
        </w:rPr>
        <w:t>HDFS /covid/output -&gt; local output/ Parquet or optional MongoDB</w:t>
      </w:r>
      <w:r>
        <w:br/>
      </w:r>
      <w:r>
        <w:rPr>
          <w:rFonts w:ascii="Consolas" w:hAnsi="Consolas"/>
          <w:color w:val="203451"/>
          <w:sz w:val="16"/>
        </w:rPr>
        <w:t xml:space="preserve">        |</w:t>
      </w:r>
      <w:r>
        <w:br/>
      </w:r>
      <w:r>
        <w:rPr>
          <w:rFonts w:ascii="Consolas" w:hAnsi="Consolas"/>
          <w:color w:val="203451"/>
          <w:sz w:val="16"/>
        </w:rPr>
        <w:t xml:space="preserve">        v</w:t>
      </w:r>
      <w:r>
        <w:br/>
      </w:r>
      <w:r>
        <w:rPr>
          <w:rFonts w:ascii="Consolas" w:hAnsi="Consolas"/>
          <w:color w:val="203451"/>
          <w:sz w:val="16"/>
        </w:rPr>
        <w:t>Streamlit dashboard</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203451"/>
            <w:tcMar>
              <w:top w:w="90" w:type="dxa"/>
              <w:start w:w="110" w:type="dxa"/>
              <w:bottom w:w="90" w:type="dxa"/>
              <w:end w:w="110" w:type="dxa"/>
            </w:tcMar>
            <w:vAlign w:val="center"/>
          </w:tcPr>
          <w:p>
            <w:r>
              <w:rPr>
                <w:rFonts w:ascii="Arial" w:hAnsi="Arial"/>
                <w:b/>
                <w:color w:val="FFFFFF"/>
                <w:sz w:val="16"/>
              </w:rPr>
              <w:t>Layer</w:t>
            </w:r>
          </w:p>
        </w:tc>
        <w:tc>
          <w:tcPr>
            <w:tcW w:type="dxa" w:w="3240"/>
            <w:shd w:fill="203451"/>
            <w:tcMar>
              <w:top w:w="90" w:type="dxa"/>
              <w:start w:w="110" w:type="dxa"/>
              <w:bottom w:w="90" w:type="dxa"/>
              <w:end w:w="110" w:type="dxa"/>
            </w:tcMar>
            <w:vAlign w:val="center"/>
          </w:tcPr>
          <w:p>
            <w:r>
              <w:rPr>
                <w:rFonts w:ascii="Arial" w:hAnsi="Arial"/>
                <w:b/>
                <w:color w:val="FFFFFF"/>
                <w:sz w:val="16"/>
              </w:rPr>
              <w:t>Implementation</w:t>
            </w:r>
          </w:p>
        </w:tc>
        <w:tc>
          <w:tcPr>
            <w:tcW w:type="dxa" w:w="4320"/>
            <w:shd w:fill="203451"/>
            <w:tcMar>
              <w:top w:w="90" w:type="dxa"/>
              <w:start w:w="110" w:type="dxa"/>
              <w:bottom w:w="90" w:type="dxa"/>
              <w:end w:w="110" w:type="dxa"/>
            </w:tcMar>
            <w:vAlign w:val="center"/>
          </w:tcPr>
          <w:p>
            <w:r>
              <w:rPr>
                <w:rFonts w:ascii="Arial" w:hAnsi="Arial"/>
                <w:b/>
                <w:color w:val="FFFFFF"/>
                <w:sz w:val="16"/>
              </w:rPr>
              <w:t>Purpose</w:t>
            </w:r>
          </w:p>
        </w:tc>
      </w:tr>
      <w:tr>
        <w:trPr>
          <w:cantSplit/>
        </w:trPr>
        <w:tc>
          <w:tcPr>
            <w:tcW w:type="dxa" w:w="1800"/>
            <w:tcMar>
              <w:top w:w="90" w:type="dxa"/>
              <w:start w:w="110" w:type="dxa"/>
              <w:bottom w:w="90" w:type="dxa"/>
              <w:end w:w="110" w:type="dxa"/>
            </w:tcMar>
            <w:vAlign w:val="center"/>
          </w:tcPr>
          <w:p>
            <w:pPr>
              <w:spacing w:after="0" w:line="240" w:lineRule="auto"/>
            </w:pPr>
            <w:r>
              <w:rPr>
                <w:rFonts w:ascii="Arial" w:hAnsi="Arial"/>
                <w:color w:val="203451"/>
                <w:sz w:val="16"/>
              </w:rPr>
              <w:t>Orchestration</w:t>
            </w:r>
          </w:p>
        </w:tc>
        <w:tc>
          <w:tcPr>
            <w:tcW w:type="dxa" w:w="3240"/>
            <w:tcMar>
              <w:top w:w="90" w:type="dxa"/>
              <w:start w:w="110" w:type="dxa"/>
              <w:bottom w:w="90" w:type="dxa"/>
              <w:end w:w="110" w:type="dxa"/>
            </w:tcMar>
            <w:vAlign w:val="center"/>
          </w:tcPr>
          <w:p>
            <w:pPr>
              <w:spacing w:after="0" w:line="240" w:lineRule="auto"/>
            </w:pPr>
            <w:r>
              <w:rPr>
                <w:rFonts w:ascii="Arial" w:hAnsi="Arial"/>
                <w:color w:val="203451"/>
                <w:sz w:val="16"/>
              </w:rPr>
              <w:t>Docker Compose</w:t>
            </w:r>
          </w:p>
        </w:tc>
        <w:tc>
          <w:tcPr>
            <w:tcW w:type="dxa" w:w="4320"/>
            <w:tcMar>
              <w:top w:w="90" w:type="dxa"/>
              <w:start w:w="110" w:type="dxa"/>
              <w:bottom w:w="90" w:type="dxa"/>
              <w:end w:w="110" w:type="dxa"/>
            </w:tcMar>
            <w:vAlign w:val="center"/>
          </w:tcPr>
          <w:p>
            <w:pPr>
              <w:spacing w:after="0" w:line="240" w:lineRule="auto"/>
            </w:pPr>
            <w:r>
              <w:rPr>
                <w:rFonts w:ascii="Arial" w:hAnsi="Arial"/>
                <w:color w:val="203451"/>
                <w:sz w:val="16"/>
              </w:rPr>
              <w:t>Starts the Hadoop, Spark, and dashboard containers on one host.</w:t>
            </w:r>
          </w:p>
        </w:tc>
      </w:tr>
      <w:tr>
        <w:trPr>
          <w:cantSplit/>
        </w:trPr>
        <w:tc>
          <w:tcPr>
            <w:tcW w:type="dxa" w:w="1800"/>
            <w:tcMar>
              <w:top w:w="90" w:type="dxa"/>
              <w:start w:w="110" w:type="dxa"/>
              <w:bottom w:w="90" w:type="dxa"/>
              <w:end w:w="110" w:type="dxa"/>
            </w:tcMar>
            <w:vAlign w:val="center"/>
            <w:shd w:fill="F7F9FB"/>
          </w:tcPr>
          <w:p>
            <w:pPr>
              <w:spacing w:after="0" w:line="240" w:lineRule="auto"/>
            </w:pPr>
            <w:r>
              <w:rPr>
                <w:rFonts w:ascii="Arial" w:hAnsi="Arial"/>
                <w:color w:val="203451"/>
                <w:sz w:val="16"/>
              </w:rPr>
              <w:t>Distributed storage</w:t>
            </w:r>
          </w:p>
        </w:tc>
        <w:tc>
          <w:tcPr>
            <w:tcW w:type="dxa" w:w="3240"/>
            <w:tcMar>
              <w:top w:w="90" w:type="dxa"/>
              <w:start w:w="110" w:type="dxa"/>
              <w:bottom w:w="90" w:type="dxa"/>
              <w:end w:w="110" w:type="dxa"/>
            </w:tcMar>
            <w:vAlign w:val="center"/>
            <w:shd w:fill="F7F9FB"/>
          </w:tcPr>
          <w:p>
            <w:pPr>
              <w:spacing w:after="0" w:line="240" w:lineRule="auto"/>
            </w:pPr>
            <w:r>
              <w:rPr>
                <w:rFonts w:ascii="Arial" w:hAnsi="Arial"/>
                <w:color w:val="203451"/>
                <w:sz w:val="16"/>
              </w:rPr>
              <w:t>HDFS, replication factor 2</w:t>
            </w:r>
          </w:p>
        </w:tc>
        <w:tc>
          <w:tcPr>
            <w:tcW w:type="dxa" w:w="4320"/>
            <w:tcMar>
              <w:top w:w="90" w:type="dxa"/>
              <w:start w:w="110" w:type="dxa"/>
              <w:bottom w:w="90" w:type="dxa"/>
              <w:end w:w="110" w:type="dxa"/>
            </w:tcMar>
            <w:vAlign w:val="center"/>
            <w:shd w:fill="F7F9FB"/>
          </w:tcPr>
          <w:p>
            <w:pPr>
              <w:spacing w:after="0" w:line="240" w:lineRule="auto"/>
            </w:pPr>
            <w:r>
              <w:rPr>
                <w:rFonts w:ascii="Arial" w:hAnsi="Arial"/>
                <w:color w:val="203451"/>
                <w:sz w:val="16"/>
              </w:rPr>
              <w:t>Stores CSV input as HDFS blocks with replicas on two DataNodes.</w:t>
            </w:r>
          </w:p>
        </w:tc>
      </w:tr>
      <w:tr>
        <w:trPr>
          <w:cantSplit/>
        </w:trPr>
        <w:tc>
          <w:tcPr>
            <w:tcW w:type="dxa" w:w="1800"/>
            <w:tcMar>
              <w:top w:w="90" w:type="dxa"/>
              <w:start w:w="110" w:type="dxa"/>
              <w:bottom w:w="90" w:type="dxa"/>
              <w:end w:w="110" w:type="dxa"/>
            </w:tcMar>
            <w:vAlign w:val="center"/>
          </w:tcPr>
          <w:p>
            <w:pPr>
              <w:spacing w:after="0" w:line="240" w:lineRule="auto"/>
            </w:pPr>
            <w:r>
              <w:rPr>
                <w:rFonts w:ascii="Arial" w:hAnsi="Arial"/>
                <w:color w:val="203451"/>
                <w:sz w:val="16"/>
              </w:rPr>
              <w:t>Resource management</w:t>
            </w:r>
          </w:p>
        </w:tc>
        <w:tc>
          <w:tcPr>
            <w:tcW w:type="dxa" w:w="3240"/>
            <w:tcMar>
              <w:top w:w="90" w:type="dxa"/>
              <w:start w:w="110" w:type="dxa"/>
              <w:bottom w:w="90" w:type="dxa"/>
              <w:end w:w="110" w:type="dxa"/>
            </w:tcMar>
            <w:vAlign w:val="center"/>
          </w:tcPr>
          <w:p>
            <w:pPr>
              <w:spacing w:after="0" w:line="240" w:lineRule="auto"/>
            </w:pPr>
            <w:r>
              <w:rPr>
                <w:rFonts w:ascii="Arial" w:hAnsi="Arial"/>
                <w:color w:val="203451"/>
                <w:sz w:val="16"/>
              </w:rPr>
              <w:t>YARN ResourceManager and two NodeManagers</w:t>
            </w:r>
          </w:p>
        </w:tc>
        <w:tc>
          <w:tcPr>
            <w:tcW w:type="dxa" w:w="4320"/>
            <w:tcMar>
              <w:top w:w="90" w:type="dxa"/>
              <w:start w:w="110" w:type="dxa"/>
              <w:bottom w:w="90" w:type="dxa"/>
              <w:end w:w="110" w:type="dxa"/>
            </w:tcMar>
            <w:vAlign w:val="center"/>
          </w:tcPr>
          <w:p>
            <w:pPr>
              <w:spacing w:after="0" w:line="240" w:lineRule="auto"/>
            </w:pPr>
            <w:r>
              <w:rPr>
                <w:rFonts w:ascii="Arial" w:hAnsi="Arial"/>
                <w:color w:val="203451"/>
                <w:sz w:val="16"/>
              </w:rPr>
              <w:t>Provides Hadoop scheduling services; current job is submitted to Spark standalone.</w:t>
            </w:r>
          </w:p>
        </w:tc>
      </w:tr>
      <w:tr>
        <w:trPr>
          <w:cantSplit/>
        </w:trPr>
        <w:tc>
          <w:tcPr>
            <w:tcW w:type="dxa" w:w="1800"/>
            <w:tcMar>
              <w:top w:w="90" w:type="dxa"/>
              <w:start w:w="110" w:type="dxa"/>
              <w:bottom w:w="90" w:type="dxa"/>
              <w:end w:w="110" w:type="dxa"/>
            </w:tcMar>
            <w:vAlign w:val="center"/>
            <w:shd w:fill="F7F9FB"/>
          </w:tcPr>
          <w:p>
            <w:pPr>
              <w:spacing w:after="0" w:line="240" w:lineRule="auto"/>
            </w:pPr>
            <w:r>
              <w:rPr>
                <w:rFonts w:ascii="Arial" w:hAnsi="Arial"/>
                <w:color w:val="203451"/>
                <w:sz w:val="16"/>
              </w:rPr>
              <w:t>Distributed processing</w:t>
            </w:r>
          </w:p>
        </w:tc>
        <w:tc>
          <w:tcPr>
            <w:tcW w:type="dxa" w:w="3240"/>
            <w:tcMar>
              <w:top w:w="90" w:type="dxa"/>
              <w:start w:w="110" w:type="dxa"/>
              <w:bottom w:w="90" w:type="dxa"/>
              <w:end w:w="110" w:type="dxa"/>
            </w:tcMar>
            <w:vAlign w:val="center"/>
            <w:shd w:fill="F7F9FB"/>
          </w:tcPr>
          <w:p>
            <w:pPr>
              <w:spacing w:after="0" w:line="240" w:lineRule="auto"/>
            </w:pPr>
            <w:r>
              <w:rPr>
                <w:rFonts w:ascii="Arial" w:hAnsi="Arial"/>
                <w:color w:val="203451"/>
                <w:sz w:val="16"/>
              </w:rPr>
              <w:t>Apache Spark / PySpark</w:t>
            </w:r>
          </w:p>
        </w:tc>
        <w:tc>
          <w:tcPr>
            <w:tcW w:type="dxa" w:w="4320"/>
            <w:tcMar>
              <w:top w:w="90" w:type="dxa"/>
              <w:start w:w="110" w:type="dxa"/>
              <w:bottom w:w="90" w:type="dxa"/>
              <w:end w:w="110" w:type="dxa"/>
            </w:tcMar>
            <w:vAlign w:val="center"/>
            <w:shd w:fill="F7F9FB"/>
          </w:tcPr>
          <w:p>
            <w:pPr>
              <w:spacing w:after="0" w:line="240" w:lineRule="auto"/>
            </w:pPr>
            <w:r>
              <w:rPr>
                <w:rFonts w:ascii="Arial" w:hAnsi="Arial"/>
                <w:color w:val="203451"/>
                <w:sz w:val="16"/>
              </w:rPr>
              <w:t>Reads HDFS tables and prepares grouped analytics.</w:t>
            </w:r>
          </w:p>
        </w:tc>
      </w:tr>
      <w:tr>
        <w:trPr>
          <w:cantSplit/>
        </w:trPr>
        <w:tc>
          <w:tcPr>
            <w:tcW w:type="dxa" w:w="1800"/>
            <w:tcMar>
              <w:top w:w="90" w:type="dxa"/>
              <w:start w:w="110" w:type="dxa"/>
              <w:bottom w:w="90" w:type="dxa"/>
              <w:end w:w="110" w:type="dxa"/>
            </w:tcMar>
            <w:vAlign w:val="center"/>
          </w:tcPr>
          <w:p>
            <w:pPr>
              <w:spacing w:after="0" w:line="240" w:lineRule="auto"/>
            </w:pPr>
            <w:r>
              <w:rPr>
                <w:rFonts w:ascii="Arial" w:hAnsi="Arial"/>
                <w:color w:val="203451"/>
                <w:sz w:val="16"/>
              </w:rPr>
              <w:t>Results</w:t>
            </w:r>
          </w:p>
        </w:tc>
        <w:tc>
          <w:tcPr>
            <w:tcW w:type="dxa" w:w="3240"/>
            <w:tcMar>
              <w:top w:w="90" w:type="dxa"/>
              <w:start w:w="110" w:type="dxa"/>
              <w:bottom w:w="90" w:type="dxa"/>
              <w:end w:w="110" w:type="dxa"/>
            </w:tcMar>
            <w:vAlign w:val="center"/>
          </w:tcPr>
          <w:p>
            <w:pPr>
              <w:spacing w:after="0" w:line="240" w:lineRule="auto"/>
            </w:pPr>
            <w:r>
              <w:rPr>
                <w:rFonts w:ascii="Arial" w:hAnsi="Arial"/>
                <w:color w:val="203451"/>
                <w:sz w:val="16"/>
              </w:rPr>
              <w:t>HDFS Parquet, local output/ Parquet, optional MongoDB</w:t>
            </w:r>
          </w:p>
        </w:tc>
        <w:tc>
          <w:tcPr>
            <w:tcW w:type="dxa" w:w="4320"/>
            <w:tcMar>
              <w:top w:w="90" w:type="dxa"/>
              <w:start w:w="110" w:type="dxa"/>
              <w:bottom w:w="90" w:type="dxa"/>
              <w:end w:w="110" w:type="dxa"/>
            </w:tcMar>
            <w:vAlign w:val="center"/>
          </w:tcPr>
          <w:p>
            <w:pPr>
              <w:spacing w:after="0" w:line="240" w:lineRule="auto"/>
            </w:pPr>
            <w:r>
              <w:rPr>
                <w:rFonts w:ascii="Arial" w:hAnsi="Arial"/>
                <w:color w:val="203451"/>
                <w:sz w:val="16"/>
              </w:rPr>
              <w:t>Makes processed summaries available to dashboard and inspection commands.</w:t>
            </w:r>
          </w:p>
        </w:tc>
      </w:tr>
      <w:tr>
        <w:trPr>
          <w:cantSplit/>
        </w:trPr>
        <w:tc>
          <w:tcPr>
            <w:tcW w:type="dxa" w:w="1800"/>
            <w:tcMar>
              <w:top w:w="90" w:type="dxa"/>
              <w:start w:w="110" w:type="dxa"/>
              <w:bottom w:w="90" w:type="dxa"/>
              <w:end w:w="110" w:type="dxa"/>
            </w:tcMar>
            <w:vAlign w:val="center"/>
            <w:shd w:fill="F7F9FB"/>
          </w:tcPr>
          <w:p>
            <w:pPr>
              <w:spacing w:after="0" w:line="240" w:lineRule="auto"/>
            </w:pPr>
            <w:r>
              <w:rPr>
                <w:rFonts w:ascii="Arial" w:hAnsi="Arial"/>
                <w:color w:val="203451"/>
                <w:sz w:val="16"/>
              </w:rPr>
              <w:t>Visualization</w:t>
            </w:r>
          </w:p>
        </w:tc>
        <w:tc>
          <w:tcPr>
            <w:tcW w:type="dxa" w:w="3240"/>
            <w:tcMar>
              <w:top w:w="90" w:type="dxa"/>
              <w:start w:w="110" w:type="dxa"/>
              <w:bottom w:w="90" w:type="dxa"/>
              <w:end w:w="110" w:type="dxa"/>
            </w:tcMar>
            <w:vAlign w:val="center"/>
            <w:shd w:fill="F7F9FB"/>
          </w:tcPr>
          <w:p>
            <w:pPr>
              <w:spacing w:after="0" w:line="240" w:lineRule="auto"/>
            </w:pPr>
            <w:r>
              <w:rPr>
                <w:rFonts w:ascii="Arial" w:hAnsi="Arial"/>
                <w:color w:val="203451"/>
                <w:sz w:val="16"/>
              </w:rPr>
              <w:t>Streamlit and Plotly</w:t>
            </w:r>
          </w:p>
        </w:tc>
        <w:tc>
          <w:tcPr>
            <w:tcW w:type="dxa" w:w="4320"/>
            <w:tcMar>
              <w:top w:w="90" w:type="dxa"/>
              <w:start w:w="110" w:type="dxa"/>
              <w:bottom w:w="90" w:type="dxa"/>
              <w:end w:w="110" w:type="dxa"/>
            </w:tcMar>
            <w:vAlign w:val="center"/>
            <w:shd w:fill="F7F9FB"/>
          </w:tcPr>
          <w:p>
            <w:pPr>
              <w:spacing w:after="0" w:line="240" w:lineRule="auto"/>
            </w:pPr>
            <w:r>
              <w:rPr>
                <w:rFonts w:ascii="Arial" w:hAnsi="Arial"/>
                <w:color w:val="203451"/>
                <w:sz w:val="16"/>
              </w:rPr>
              <w:t>Presents KPIs, maps, charts, filters, and quality information.</w:t>
            </w:r>
          </w:p>
        </w:tc>
      </w:tr>
    </w:tbl>
    <w:p>
      <w:pPr>
        <w:spacing w:after="20"/>
      </w:pPr>
    </w:p>
    <w:p>
      <w:r>
        <w:t>The three Hadoop nodes are containers on one Docker host; they are not three physical hosts. HDFS block replicas and Spark executors are distributed across worker containers.</w:t>
      </w:r>
    </w:p>
    <w:p>
      <w:pPr>
        <w:pStyle w:val="Heading1"/>
      </w:pPr>
      <w:r>
        <w:t>3. Dataset and ingestion</w:t>
      </w:r>
    </w:p>
    <w:p>
      <w:r>
        <w:t>The source is Google COVID-19 Open Data. The ingestion scripts download epidemiology.csv, vaccinations.csv, hospitalizations.csv, demographics.csv, and index.csv into the local dataset/ directory. The upload process sends these files to HDFS under /covid/input. The epidemiology CSV was measured at 520,931,512 bytes during the HDFS check.</w:t>
      </w:r>
    </w:p>
    <w:p>
      <w:pPr>
        <w:pStyle w:val="Heading2"/>
      </w:pPr>
      <w:r>
        <w:t>3.1 HDFS verification</w:t>
      </w:r>
    </w:p>
    <w:p>
      <w:r>
        <w:t>The live HDFS report showed two DataNodes. The input directory contained all five expected files. fsck reported the epidemiology file as healthy with four blocks, replication factor two, and both worker DataNodes listed for each block. The aggregate HDFS report also showed four under-replicated blocks overall, so the per-file input check and overall filesystem counters should be reported separately.</w:t>
      </w:r>
    </w:p>
    <w:p>
      <w:pPr>
        <w:pStyle w:val="Heading1"/>
      </w:pPr>
      <w:r>
        <w:t>4. Distributed processing design</w:t>
      </w:r>
    </w:p>
    <w:p>
      <w:r>
        <w:t>The Spark job in spark/jobs/analytics_job.py reads the HDFS tables, applies cleaning and schema transformations, joins reference and metric tables, and prepares aggregations in src/analytics/covid_analyzer.py. Outputs are designed for global metrics, country summaries, daily global summaries, country-date series, vaccination, hospitalization, and regional views. The job writes Parquet results under HDFS /covid/output. Following successful completion, runner scripts copy selected result directories to output/ for the dashboard fallback. MongoDB can be configured as an optional results store.</w:t>
      </w:r>
    </w:p>
    <w:p>
      <w:pPr>
        <w:pStyle w:val="Heading2"/>
      </w:pPr>
      <w:r>
        <w:t>4.1 Metric interpretation</w:t>
      </w:r>
    </w:p>
    <w:p>
      <w:r>
        <w:t>Country and date aggregations are derived from the data rather than hard-coded KPI values. Vaccination counts require field-level interpretation: a field that measures individual doses must be labeled as doses, while unique people require an explicit people-vaccinated source field. A legacy total_vaccinated field has no guaranteed meaning in this project's old output; the dashboard labels it as undefined rather than assuming people or doses.</w:t>
      </w:r>
    </w:p>
    <w:p>
      <w:pPr>
        <w:pStyle w:val="Heading1"/>
      </w:pPr>
      <w:r>
        <w:t>5. Streamlit dashboard</w:t>
      </w:r>
    </w:p>
    <w:p>
      <w:r>
        <w:t>The Streamlit application consumes processed MongoDB collections when available and otherwise reads local Parquet output. The interface includes dynamic KPIs, country and date filters, an interactive map view, historical grouping, country comparisons, a custom chart builder, regional views when regional summaries are available, a data explorer, CSV/Excel export, and a persistent light/dark theme. These controls transform or filter already-processed summaries; Spark remains the distributed processing layer.</w:t>
      </w:r>
    </w:p>
    <w:p>
      <w:pPr>
        <w:pStyle w:val="Heading2"/>
      </w:pPr>
      <w:r>
        <w:t>5.1 Coverage and quality snapshot</w:t>
      </w:r>
    </w:p>
    <w:p>
      <w:r>
        <w:t>A prior dashboard check displayed 232 processed country records. The source index contained 246 country-level keys (aggregation_level=0). These counts refer to different levels: the processed dashboard count depends on the available summary output and is not hard-coded. The prior dashboard quality view showed 232 records, 17 missing cells, and zero duplicate rows. These are dated observations from the available processed output, not a guarantee about a future rerun.</w:t>
      </w:r>
    </w:p>
    <w:p>
      <w:pPr>
        <w:pStyle w:val="Heading1"/>
      </w:pPr>
      <w:r>
        <w:t>6. Verification and results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203451"/>
            <w:tcMar>
              <w:top w:w="90" w:type="dxa"/>
              <w:start w:w="110" w:type="dxa"/>
              <w:bottom w:w="90" w:type="dxa"/>
              <w:end w:w="110" w:type="dxa"/>
            </w:tcMar>
            <w:vAlign w:val="center"/>
          </w:tcPr>
          <w:p>
            <w:r>
              <w:rPr>
                <w:rFonts w:ascii="Arial" w:hAnsi="Arial"/>
                <w:b/>
                <w:color w:val="FFFFFF"/>
                <w:sz w:val="15"/>
              </w:rPr>
              <w:t>Check</w:t>
            </w:r>
          </w:p>
        </w:tc>
        <w:tc>
          <w:tcPr>
            <w:tcW w:type="dxa" w:w="5760"/>
            <w:shd w:fill="203451"/>
            <w:tcMar>
              <w:top w:w="90" w:type="dxa"/>
              <w:start w:w="110" w:type="dxa"/>
              <w:bottom w:w="90" w:type="dxa"/>
              <w:end w:w="110" w:type="dxa"/>
            </w:tcMar>
            <w:vAlign w:val="center"/>
          </w:tcPr>
          <w:p>
            <w:r>
              <w:rPr>
                <w:rFonts w:ascii="Arial" w:hAnsi="Arial"/>
                <w:b/>
                <w:color w:val="FFFFFF"/>
                <w:sz w:val="15"/>
              </w:rPr>
              <w:t>Observed result on 2 Oct 2026</w:t>
            </w:r>
          </w:p>
        </w:tc>
        <w:tc>
          <w:tcPr>
            <w:tcW w:type="dxa" w:w="1656"/>
            <w:shd w:fill="203451"/>
            <w:tcMar>
              <w:top w:w="90" w:type="dxa"/>
              <w:start w:w="110" w:type="dxa"/>
              <w:bottom w:w="90" w:type="dxa"/>
              <w:end w:w="110" w:type="dxa"/>
            </w:tcMar>
            <w:vAlign w:val="center"/>
          </w:tcPr>
          <w:p>
            <w:r>
              <w:rPr>
                <w:rFonts w:ascii="Arial" w:hAnsi="Arial"/>
                <w:b/>
                <w:color w:val="FFFFFF"/>
                <w:sz w:val="15"/>
              </w:rPr>
              <w:t>Assessment</w:t>
            </w:r>
          </w:p>
        </w:tc>
      </w:tr>
      <w:tr>
        <w:trPr>
          <w:cantSplit/>
        </w:trPr>
        <w:tc>
          <w:tcPr>
            <w:tcW w:type="dxa" w:w="1944"/>
            <w:tcMar>
              <w:top w:w="90" w:type="dxa"/>
              <w:start w:w="110" w:type="dxa"/>
              <w:bottom w:w="90" w:type="dxa"/>
              <w:end w:w="110" w:type="dxa"/>
            </w:tcMar>
            <w:vAlign w:val="center"/>
          </w:tcPr>
          <w:p>
            <w:pPr>
              <w:spacing w:after="0" w:line="240" w:lineRule="auto"/>
            </w:pPr>
            <w:r>
              <w:rPr>
                <w:rFonts w:ascii="Arial" w:hAnsi="Arial"/>
                <w:color w:val="203451"/>
                <w:sz w:val="15"/>
              </w:rPr>
              <w:t>Compose configuration</w:t>
            </w:r>
          </w:p>
        </w:tc>
        <w:tc>
          <w:tcPr>
            <w:tcW w:type="dxa" w:w="5760"/>
            <w:tcMar>
              <w:top w:w="90" w:type="dxa"/>
              <w:start w:w="110" w:type="dxa"/>
              <w:bottom w:w="90" w:type="dxa"/>
              <w:end w:w="110" w:type="dxa"/>
            </w:tcMar>
            <w:vAlign w:val="center"/>
          </w:tcPr>
          <w:p>
            <w:pPr>
              <w:spacing w:after="0" w:line="240" w:lineRule="auto"/>
            </w:pPr>
            <w:r>
              <w:rPr>
                <w:rFonts w:ascii="Arial" w:hAnsi="Arial"/>
                <w:color w:val="203451"/>
                <w:sz w:val="15"/>
              </w:rPr>
              <w:t>docker compose config --quiet completed successfully.</w:t>
            </w:r>
          </w:p>
        </w:tc>
        <w:tc>
          <w:tcPr>
            <w:tcW w:type="dxa" w:w="1656"/>
            <w:tcMar>
              <w:top w:w="90" w:type="dxa"/>
              <w:start w:w="110" w:type="dxa"/>
              <w:bottom w:w="90" w:type="dxa"/>
              <w:end w:w="110" w:type="dxa"/>
            </w:tcMar>
            <w:vAlign w:val="center"/>
          </w:tcPr>
          <w:p>
            <w:pPr>
              <w:spacing w:after="0" w:line="240" w:lineRule="auto"/>
            </w:pPr>
            <w:r>
              <w:rPr>
                <w:rFonts w:ascii="Arial" w:hAnsi="Arial"/>
                <w:color w:val="203451"/>
                <w:sz w:val="15"/>
              </w:rPr>
              <w:t>PASS</w:t>
            </w:r>
          </w:p>
        </w:tc>
      </w:tr>
      <w:tr>
        <w:trPr>
          <w:cantSplit/>
        </w:trPr>
        <w:tc>
          <w:tcPr>
            <w:tcW w:type="dxa" w:w="1944"/>
            <w:tcMar>
              <w:top w:w="90" w:type="dxa"/>
              <w:start w:w="110" w:type="dxa"/>
              <w:bottom w:w="90" w:type="dxa"/>
              <w:end w:w="110" w:type="dxa"/>
            </w:tcMar>
            <w:vAlign w:val="center"/>
            <w:shd w:fill="F7F9FB"/>
          </w:tcPr>
          <w:p>
            <w:pPr>
              <w:spacing w:after="0" w:line="240" w:lineRule="auto"/>
            </w:pPr>
            <w:r>
              <w:rPr>
                <w:rFonts w:ascii="Arial" w:hAnsi="Arial"/>
                <w:color w:val="203451"/>
                <w:sz w:val="15"/>
              </w:rPr>
              <w:t>Image build and stack start</w:t>
            </w:r>
          </w:p>
        </w:tc>
        <w:tc>
          <w:tcPr>
            <w:tcW w:type="dxa" w:w="5760"/>
            <w:tcMar>
              <w:top w:w="90" w:type="dxa"/>
              <w:start w:w="110" w:type="dxa"/>
              <w:bottom w:w="90" w:type="dxa"/>
              <w:end w:w="110" w:type="dxa"/>
            </w:tcMar>
            <w:vAlign w:val="center"/>
            <w:shd w:fill="F7F9FB"/>
          </w:tcPr>
          <w:p>
            <w:pPr>
              <w:spacing w:after="0" w:line="240" w:lineRule="auto"/>
            </w:pPr>
            <w:r>
              <w:rPr>
                <w:rFonts w:ascii="Arial" w:hAnsi="Arial"/>
                <w:color w:val="203451"/>
                <w:sz w:val="15"/>
              </w:rPr>
              <w:t>docker compose build and docker compose up -d succeeded; ten services were listed.</w:t>
            </w:r>
          </w:p>
        </w:tc>
        <w:tc>
          <w:tcPr>
            <w:tcW w:type="dxa" w:w="1656"/>
            <w:tcMar>
              <w:top w:w="90" w:type="dxa"/>
              <w:start w:w="110" w:type="dxa"/>
              <w:bottom w:w="90" w:type="dxa"/>
              <w:end w:w="110" w:type="dxa"/>
            </w:tcMar>
            <w:vAlign w:val="center"/>
            <w:shd w:fill="F7F9FB"/>
          </w:tcPr>
          <w:p>
            <w:pPr>
              <w:spacing w:after="0" w:line="240" w:lineRule="auto"/>
            </w:pPr>
            <w:r>
              <w:rPr>
                <w:rFonts w:ascii="Arial" w:hAnsi="Arial"/>
                <w:color w:val="203451"/>
                <w:sz w:val="15"/>
              </w:rPr>
              <w:t>PASS</w:t>
            </w:r>
          </w:p>
        </w:tc>
      </w:tr>
      <w:tr>
        <w:trPr>
          <w:cantSplit/>
        </w:trPr>
        <w:tc>
          <w:tcPr>
            <w:tcW w:type="dxa" w:w="1944"/>
            <w:tcMar>
              <w:top w:w="90" w:type="dxa"/>
              <w:start w:w="110" w:type="dxa"/>
              <w:bottom w:w="90" w:type="dxa"/>
              <w:end w:w="110" w:type="dxa"/>
            </w:tcMar>
            <w:vAlign w:val="center"/>
          </w:tcPr>
          <w:p>
            <w:pPr>
              <w:spacing w:after="0" w:line="240" w:lineRule="auto"/>
            </w:pPr>
            <w:r>
              <w:rPr>
                <w:rFonts w:ascii="Arial" w:hAnsi="Arial"/>
                <w:color w:val="203451"/>
                <w:sz w:val="15"/>
              </w:rPr>
              <w:t>Hadoop node roles</w:t>
            </w:r>
          </w:p>
        </w:tc>
        <w:tc>
          <w:tcPr>
            <w:tcW w:type="dxa" w:w="5760"/>
            <w:tcMar>
              <w:top w:w="90" w:type="dxa"/>
              <w:start w:w="110" w:type="dxa"/>
              <w:bottom w:w="90" w:type="dxa"/>
              <w:end w:w="110" w:type="dxa"/>
            </w:tcMar>
            <w:vAlign w:val="center"/>
          </w:tcPr>
          <w:p>
            <w:pPr>
              <w:spacing w:after="0" w:line="240" w:lineRule="auto"/>
            </w:pPr>
            <w:r>
              <w:rPr>
                <w:rFonts w:ascii="Arial" w:hAnsi="Arial"/>
                <w:color w:val="203451"/>
                <w:sz w:val="15"/>
              </w:rPr>
              <w:t>NameNode, ResourceManager, two DataNodes, and two NodeManagers were running; master services and NodeManagers reported healthy.</w:t>
            </w:r>
          </w:p>
        </w:tc>
        <w:tc>
          <w:tcPr>
            <w:tcW w:type="dxa" w:w="1656"/>
            <w:tcMar>
              <w:top w:w="90" w:type="dxa"/>
              <w:start w:w="110" w:type="dxa"/>
              <w:bottom w:w="90" w:type="dxa"/>
              <w:end w:w="110" w:type="dxa"/>
            </w:tcMar>
            <w:vAlign w:val="center"/>
          </w:tcPr>
          <w:p>
            <w:pPr>
              <w:spacing w:after="0" w:line="240" w:lineRule="auto"/>
            </w:pPr>
            <w:r>
              <w:rPr>
                <w:rFonts w:ascii="Arial" w:hAnsi="Arial"/>
                <w:color w:val="203451"/>
                <w:sz w:val="15"/>
              </w:rPr>
              <w:t>PASS</w:t>
            </w:r>
          </w:p>
        </w:tc>
      </w:tr>
      <w:tr>
        <w:trPr>
          <w:cantSplit/>
        </w:trPr>
        <w:tc>
          <w:tcPr>
            <w:tcW w:type="dxa" w:w="1944"/>
            <w:tcMar>
              <w:top w:w="90" w:type="dxa"/>
              <w:start w:w="110" w:type="dxa"/>
              <w:bottom w:w="90" w:type="dxa"/>
              <w:end w:w="110" w:type="dxa"/>
            </w:tcMar>
            <w:vAlign w:val="center"/>
            <w:shd w:fill="F7F9FB"/>
          </w:tcPr>
          <w:p>
            <w:pPr>
              <w:spacing w:after="0" w:line="240" w:lineRule="auto"/>
            </w:pPr>
            <w:r>
              <w:rPr>
                <w:rFonts w:ascii="Arial" w:hAnsi="Arial"/>
                <w:color w:val="203451"/>
                <w:sz w:val="15"/>
              </w:rPr>
              <w:t>HDFS live workers</w:t>
            </w:r>
          </w:p>
        </w:tc>
        <w:tc>
          <w:tcPr>
            <w:tcW w:type="dxa" w:w="5760"/>
            <w:tcMar>
              <w:top w:w="90" w:type="dxa"/>
              <w:start w:w="110" w:type="dxa"/>
              <w:bottom w:w="90" w:type="dxa"/>
              <w:end w:w="110" w:type="dxa"/>
            </w:tcMar>
            <w:vAlign w:val="center"/>
            <w:shd w:fill="F7F9FB"/>
          </w:tcPr>
          <w:p>
            <w:pPr>
              <w:spacing w:after="0" w:line="240" w:lineRule="auto"/>
            </w:pPr>
            <w:r>
              <w:rPr>
                <w:rFonts w:ascii="Arial" w:hAnsi="Arial"/>
                <w:color w:val="203451"/>
                <w:sz w:val="15"/>
              </w:rPr>
              <w:t>dfsadmin -report showed two live DataNodes.</w:t>
            </w:r>
          </w:p>
        </w:tc>
        <w:tc>
          <w:tcPr>
            <w:tcW w:type="dxa" w:w="1656"/>
            <w:tcMar>
              <w:top w:w="90" w:type="dxa"/>
              <w:start w:w="110" w:type="dxa"/>
              <w:bottom w:w="90" w:type="dxa"/>
              <w:end w:w="110" w:type="dxa"/>
            </w:tcMar>
            <w:vAlign w:val="center"/>
            <w:shd w:fill="F7F9FB"/>
          </w:tcPr>
          <w:p>
            <w:pPr>
              <w:spacing w:after="0" w:line="240" w:lineRule="auto"/>
            </w:pPr>
            <w:r>
              <w:rPr>
                <w:rFonts w:ascii="Arial" w:hAnsi="Arial"/>
                <w:color w:val="203451"/>
                <w:sz w:val="15"/>
              </w:rPr>
              <w:t>PASS</w:t>
            </w:r>
          </w:p>
        </w:tc>
      </w:tr>
      <w:tr>
        <w:trPr>
          <w:cantSplit/>
        </w:trPr>
        <w:tc>
          <w:tcPr>
            <w:tcW w:type="dxa" w:w="1944"/>
            <w:tcMar>
              <w:top w:w="90" w:type="dxa"/>
              <w:start w:w="110" w:type="dxa"/>
              <w:bottom w:w="90" w:type="dxa"/>
              <w:end w:w="110" w:type="dxa"/>
            </w:tcMar>
            <w:vAlign w:val="center"/>
          </w:tcPr>
          <w:p>
            <w:pPr>
              <w:spacing w:after="0" w:line="240" w:lineRule="auto"/>
            </w:pPr>
            <w:r>
              <w:rPr>
                <w:rFonts w:ascii="Arial" w:hAnsi="Arial"/>
                <w:color w:val="203451"/>
                <w:sz w:val="15"/>
              </w:rPr>
              <w:t>HDFS input replication</w:t>
            </w:r>
          </w:p>
        </w:tc>
        <w:tc>
          <w:tcPr>
            <w:tcW w:type="dxa" w:w="5760"/>
            <w:tcMar>
              <w:top w:w="90" w:type="dxa"/>
              <w:start w:w="110" w:type="dxa"/>
              <w:bottom w:w="90" w:type="dxa"/>
              <w:end w:w="110" w:type="dxa"/>
            </w:tcMar>
            <w:vAlign w:val="center"/>
          </w:tcPr>
          <w:p>
            <w:pPr>
              <w:spacing w:after="0" w:line="240" w:lineRule="auto"/>
            </w:pPr>
            <w:r>
              <w:rPr>
                <w:rFonts w:ascii="Arial" w:hAnsi="Arial"/>
                <w:color w:val="203451"/>
                <w:sz w:val="15"/>
              </w:rPr>
              <w:t>Five CSVs listed; epidemiology file had four healthy blocks, replication 2, both workers for each block.</w:t>
            </w:r>
          </w:p>
        </w:tc>
        <w:tc>
          <w:tcPr>
            <w:tcW w:type="dxa" w:w="1656"/>
            <w:tcMar>
              <w:top w:w="90" w:type="dxa"/>
              <w:start w:w="110" w:type="dxa"/>
              <w:bottom w:w="90" w:type="dxa"/>
              <w:end w:w="110" w:type="dxa"/>
            </w:tcMar>
            <w:vAlign w:val="center"/>
          </w:tcPr>
          <w:p>
            <w:pPr>
              <w:spacing w:after="0" w:line="240" w:lineRule="auto"/>
            </w:pPr>
            <w:r>
              <w:rPr>
                <w:rFonts w:ascii="Arial" w:hAnsi="Arial"/>
                <w:color w:val="203451"/>
                <w:sz w:val="15"/>
              </w:rPr>
              <w:t>PASS for checked input file</w:t>
            </w:r>
          </w:p>
        </w:tc>
      </w:tr>
      <w:tr>
        <w:trPr>
          <w:cantSplit/>
        </w:trPr>
        <w:tc>
          <w:tcPr>
            <w:tcW w:type="dxa" w:w="1944"/>
            <w:tcMar>
              <w:top w:w="90" w:type="dxa"/>
              <w:start w:w="110" w:type="dxa"/>
              <w:bottom w:w="90" w:type="dxa"/>
              <w:end w:w="110" w:type="dxa"/>
            </w:tcMar>
            <w:vAlign w:val="center"/>
            <w:shd w:fill="F7F9FB"/>
          </w:tcPr>
          <w:p>
            <w:pPr>
              <w:spacing w:after="0" w:line="240" w:lineRule="auto"/>
            </w:pPr>
            <w:r>
              <w:rPr>
                <w:rFonts w:ascii="Arial" w:hAnsi="Arial"/>
                <w:color w:val="203451"/>
                <w:sz w:val="15"/>
              </w:rPr>
              <w:t>Overall HDFS replication</w:t>
            </w:r>
          </w:p>
        </w:tc>
        <w:tc>
          <w:tcPr>
            <w:tcW w:type="dxa" w:w="5760"/>
            <w:tcMar>
              <w:top w:w="90" w:type="dxa"/>
              <w:start w:w="110" w:type="dxa"/>
              <w:bottom w:w="90" w:type="dxa"/>
              <w:end w:w="110" w:type="dxa"/>
            </w:tcMar>
            <w:vAlign w:val="center"/>
            <w:shd w:fill="F7F9FB"/>
          </w:tcPr>
          <w:p>
            <w:pPr>
              <w:spacing w:after="0" w:line="240" w:lineRule="auto"/>
            </w:pPr>
            <w:r>
              <w:rPr>
                <w:rFonts w:ascii="Arial" w:hAnsi="Arial"/>
                <w:color w:val="203451"/>
                <w:sz w:val="15"/>
              </w:rPr>
              <w:t>dfsadmin report listed four under-replicated blocks overall.</w:t>
            </w:r>
          </w:p>
        </w:tc>
        <w:tc>
          <w:tcPr>
            <w:tcW w:type="dxa" w:w="1656"/>
            <w:tcMar>
              <w:top w:w="90" w:type="dxa"/>
              <w:start w:w="110" w:type="dxa"/>
              <w:bottom w:w="90" w:type="dxa"/>
              <w:end w:w="110" w:type="dxa"/>
            </w:tcMar>
            <w:vAlign w:val="center"/>
            <w:shd w:fill="F7F9FB"/>
          </w:tcPr>
          <w:p>
            <w:pPr>
              <w:spacing w:after="0" w:line="240" w:lineRule="auto"/>
            </w:pPr>
            <w:r>
              <w:rPr>
                <w:rFonts w:ascii="Arial" w:hAnsi="Arial"/>
                <w:color w:val="203451"/>
                <w:sz w:val="15"/>
              </w:rPr>
              <w:t>Needs follow-up</w:t>
            </w:r>
          </w:p>
        </w:tc>
      </w:tr>
      <w:tr>
        <w:trPr>
          <w:cantSplit/>
        </w:trPr>
        <w:tc>
          <w:tcPr>
            <w:tcW w:type="dxa" w:w="1944"/>
            <w:tcMar>
              <w:top w:w="90" w:type="dxa"/>
              <w:start w:w="110" w:type="dxa"/>
              <w:bottom w:w="90" w:type="dxa"/>
              <w:end w:w="110" w:type="dxa"/>
            </w:tcMar>
            <w:vAlign w:val="center"/>
          </w:tcPr>
          <w:p>
            <w:pPr>
              <w:spacing w:after="0" w:line="240" w:lineRule="auto"/>
            </w:pPr>
            <w:r>
              <w:rPr>
                <w:rFonts w:ascii="Arial" w:hAnsi="Arial"/>
                <w:color w:val="203451"/>
                <w:sz w:val="15"/>
              </w:rPr>
              <w:t>Dashboard service</w:t>
            </w:r>
          </w:p>
        </w:tc>
        <w:tc>
          <w:tcPr>
            <w:tcW w:type="dxa" w:w="5760"/>
            <w:tcMar>
              <w:top w:w="90" w:type="dxa"/>
              <w:start w:w="110" w:type="dxa"/>
              <w:bottom w:w="90" w:type="dxa"/>
              <w:end w:w="110" w:type="dxa"/>
            </w:tcMar>
            <w:vAlign w:val="center"/>
          </w:tcPr>
          <w:p>
            <w:pPr>
              <w:spacing w:after="0" w:line="240" w:lineRule="auto"/>
            </w:pPr>
            <w:r>
              <w:rPr>
                <w:rFonts w:ascii="Arial" w:hAnsi="Arial"/>
                <w:color w:val="203451"/>
                <w:sz w:val="15"/>
              </w:rPr>
              <w:t>Container healthy; Streamlit health endpoint returned ok.</w:t>
            </w:r>
          </w:p>
        </w:tc>
        <w:tc>
          <w:tcPr>
            <w:tcW w:type="dxa" w:w="1656"/>
            <w:tcMar>
              <w:top w:w="90" w:type="dxa"/>
              <w:start w:w="110" w:type="dxa"/>
              <w:bottom w:w="90" w:type="dxa"/>
              <w:end w:w="110" w:type="dxa"/>
            </w:tcMar>
            <w:vAlign w:val="center"/>
          </w:tcPr>
          <w:p>
            <w:pPr>
              <w:spacing w:after="0" w:line="240" w:lineRule="auto"/>
            </w:pPr>
            <w:r>
              <w:rPr>
                <w:rFonts w:ascii="Arial" w:hAnsi="Arial"/>
                <w:color w:val="203451"/>
                <w:sz w:val="15"/>
              </w:rPr>
              <w:t>PASS</w:t>
            </w:r>
          </w:p>
        </w:tc>
      </w:tr>
      <w:tr>
        <w:trPr>
          <w:cantSplit/>
        </w:trPr>
        <w:tc>
          <w:tcPr>
            <w:tcW w:type="dxa" w:w="1944"/>
            <w:tcMar>
              <w:top w:w="90" w:type="dxa"/>
              <w:start w:w="110" w:type="dxa"/>
              <w:bottom w:w="90" w:type="dxa"/>
              <w:end w:w="110" w:type="dxa"/>
            </w:tcMar>
            <w:vAlign w:val="center"/>
            <w:shd w:fill="F7F9FB"/>
          </w:tcPr>
          <w:p>
            <w:pPr>
              <w:spacing w:after="0" w:line="240" w:lineRule="auto"/>
            </w:pPr>
            <w:r>
              <w:rPr>
                <w:rFonts w:ascii="Arial" w:hAnsi="Arial"/>
                <w:color w:val="203451"/>
                <w:sz w:val="15"/>
              </w:rPr>
              <w:t>Spark job</w:t>
            </w:r>
          </w:p>
        </w:tc>
        <w:tc>
          <w:tcPr>
            <w:tcW w:type="dxa" w:w="5760"/>
            <w:tcMar>
              <w:top w:w="90" w:type="dxa"/>
              <w:start w:w="110" w:type="dxa"/>
              <w:bottom w:w="90" w:type="dxa"/>
              <w:end w:w="110" w:type="dxa"/>
            </w:tcMar>
            <w:vAlign w:val="center"/>
            <w:shd w:fill="F7F9FB"/>
          </w:tcPr>
          <w:p>
            <w:pPr>
              <w:spacing w:after="0" w:line="240" w:lineRule="auto"/>
            </w:pPr>
            <w:r>
              <w:rPr>
                <w:rFonts w:ascii="Arial" w:hAnsi="Arial"/>
                <w:color w:val="203451"/>
                <w:sz w:val="15"/>
              </w:rPr>
              <w:t>Two executors registered and aggregations prepared; executor lost during shuffle, no successful process exit verified.</w:t>
            </w:r>
          </w:p>
        </w:tc>
        <w:tc>
          <w:tcPr>
            <w:tcW w:type="dxa" w:w="1656"/>
            <w:tcMar>
              <w:top w:w="90" w:type="dxa"/>
              <w:start w:w="110" w:type="dxa"/>
              <w:bottom w:w="90" w:type="dxa"/>
              <w:end w:w="110" w:type="dxa"/>
            </w:tcMar>
            <w:vAlign w:val="center"/>
            <w:shd w:fill="F7F9FB"/>
          </w:tcPr>
          <w:p>
            <w:pPr>
              <w:spacing w:after="0" w:line="240" w:lineRule="auto"/>
            </w:pPr>
            <w:r>
              <w:rPr>
                <w:rFonts w:ascii="Arial" w:hAnsi="Arial"/>
                <w:color w:val="203451"/>
                <w:sz w:val="15"/>
              </w:rPr>
              <w:t>FAIL / incomplete</w:t>
            </w:r>
          </w:p>
        </w:tc>
      </w:tr>
      <w:tr>
        <w:trPr>
          <w:cantSplit/>
        </w:trPr>
        <w:tc>
          <w:tcPr>
            <w:tcW w:type="dxa" w:w="1944"/>
            <w:tcMar>
              <w:top w:w="90" w:type="dxa"/>
              <w:start w:w="110" w:type="dxa"/>
              <w:bottom w:w="90" w:type="dxa"/>
              <w:end w:w="110" w:type="dxa"/>
            </w:tcMar>
            <w:vAlign w:val="center"/>
          </w:tcPr>
          <w:p>
            <w:pPr>
              <w:spacing w:after="0" w:line="240" w:lineRule="auto"/>
            </w:pPr>
            <w:r>
              <w:rPr>
                <w:rFonts w:ascii="Arial" w:hAnsi="Arial"/>
                <w:color w:val="203451"/>
                <w:sz w:val="15"/>
              </w:rPr>
              <w:t>Fresh analytics outputs</w:t>
            </w:r>
          </w:p>
        </w:tc>
        <w:tc>
          <w:tcPr>
            <w:tcW w:type="dxa" w:w="5760"/>
            <w:tcMar>
              <w:top w:w="90" w:type="dxa"/>
              <w:start w:w="110" w:type="dxa"/>
              <w:bottom w:w="90" w:type="dxa"/>
              <w:end w:w="110" w:type="dxa"/>
            </w:tcMar>
            <w:vAlign w:val="center"/>
          </w:tcPr>
          <w:p>
            <w:pPr>
              <w:spacing w:after="0" w:line="240" w:lineRule="auto"/>
            </w:pPr>
            <w:r>
              <w:rPr>
                <w:rFonts w:ascii="Arial" w:hAnsi="Arial"/>
                <w:color w:val="203451"/>
                <w:sz w:val="15"/>
              </w:rPr>
              <w:t>Post-failure HDFS listing could not be confirmed; do not treat any existing output as fresh.</w:t>
            </w:r>
          </w:p>
        </w:tc>
        <w:tc>
          <w:tcPr>
            <w:tcW w:type="dxa" w:w="1656"/>
            <w:tcMar>
              <w:top w:w="90" w:type="dxa"/>
              <w:start w:w="110" w:type="dxa"/>
              <w:bottom w:w="90" w:type="dxa"/>
              <w:end w:w="110" w:type="dxa"/>
            </w:tcMar>
            <w:vAlign w:val="center"/>
          </w:tcPr>
          <w:p>
            <w:pPr>
              <w:spacing w:after="0" w:line="240" w:lineRule="auto"/>
            </w:pPr>
            <w:r>
              <w:rPr>
                <w:rFonts w:ascii="Arial" w:hAnsi="Arial"/>
                <w:color w:val="203451"/>
                <w:sz w:val="15"/>
              </w:rPr>
              <w:t>Not verified</w:t>
            </w:r>
          </w:p>
        </w:tc>
      </w:tr>
    </w:tbl>
    <w:p>
      <w:pPr>
        <w:spacing w:after="20"/>
      </w:pPr>
    </w:p>
    <w:p>
      <w:pPr>
        <w:pStyle w:val="Heading1"/>
      </w:pPr>
      <w:r>
        <w:t>7. Limitations and next engineering work</w:t>
      </w:r>
    </w:p>
    <w:p>
      <w:pPr>
        <w:pStyle w:val="ListBullet"/>
        <w:spacing w:after="40"/>
      </w:pPr>
      <w:r>
        <w:t>The latest distributed Spark analytics run did not complete; worker loss during shuffle prevented verification of fresh output.</w:t>
      </w:r>
    </w:p>
    <w:p>
      <w:pPr>
        <w:pStyle w:val="ListBullet"/>
        <w:spacing w:after="40"/>
      </w:pPr>
      <w:r>
        <w:t>YARN cluster-mode execution is constrained because the current Hadoop NodeManager images do not include Python 3. The documented job path uses Spark standalone mode.</w:t>
      </w:r>
    </w:p>
    <w:p>
      <w:pPr>
        <w:pStyle w:val="ListBullet"/>
        <w:spacing w:after="40"/>
      </w:pPr>
      <w:r>
        <w:t>The aggregate HDFS report listed four under-replicated blocks even though the inspected epidemiology input file passed fsck. The remaining HDFS paths should be audited after the Spark application is stopped.</w:t>
      </w:r>
    </w:p>
    <w:p>
      <w:pPr>
        <w:pStyle w:val="ListBullet"/>
        <w:spacing w:after="40"/>
      </w:pPr>
      <w:r>
        <w:t>A full clean-volume reset was not performed during the audit because it would delete existing HDFS data and NameNode metadata. Compose build and start were tested with existing named volumes.</w:t>
      </w:r>
    </w:p>
    <w:p>
      <w:pPr>
        <w:pStyle w:val="ListBullet"/>
        <w:spacing w:after="40"/>
      </w:pPr>
      <w:r>
        <w:t>Country map matching is distinct from source coverage. Aliases help the visualization, while source keys remain the analytical identifiers.</w:t>
      </w:r>
    </w:p>
    <w:p>
      <w:pPr>
        <w:pStyle w:val="ListBullet"/>
        <w:spacing w:after="40"/>
      </w:pPr>
      <w:r>
        <w:t>Regional geographic boundary files are not present for every state or province, so a universal regional choropleth is unavailable.</w:t>
      </w:r>
    </w:p>
    <w:p>
      <w:pPr>
        <w:pStyle w:val="Heading1"/>
      </w:pPr>
      <w:r>
        <w:t>8. Conclusion</w:t>
      </w:r>
    </w:p>
    <w:p>
      <w:r>
        <w:t>The project contains a genuine containerized Hadoop cluster with HDFS storage replicated across two DataNodes, Spark master/worker services, and a Streamlit visualization layer. Live verification confirmed the three-node Hadoop topology, five HDFS inputs, two live DataNodes, and healthy replicated blocks for the epidemiology file. The dashboard service also ran successfully. However, the latest Spark analytics submission lost an executor during shuffle and did not finish; therefore, the end-to-end fresh analytics result remains unverified. A successful rerun with current Parquet output is required before claiming full pipeline completion.</w:t>
      </w:r>
    </w:p>
    <w:p>
      <w:pPr>
        <w:pStyle w:val="Heading1"/>
      </w:pPr>
      <w:r>
        <w:t>References</w:t>
      </w:r>
    </w:p>
    <w:p>
      <w:pPr>
        <w:spacing w:after="60"/>
        <w:ind w:left="317" w:hanging="317"/>
      </w:pPr>
      <w:r>
        <w:t>[1] Google Cloud Platform. COVID-19 Open Data. https://github.com/GoogleCloudPlatform/covid-19-open-data</w:t>
      </w:r>
    </w:p>
    <w:p>
      <w:pPr>
        <w:spacing w:after="60"/>
        <w:ind w:left="317" w:hanging="317"/>
      </w:pPr>
      <w:r>
        <w:t>[2] Apache Hadoop. HDFS Architecture Guide. https://hadoop.apache.org/docs/r3.2.1/hadoop-project-dist/hadoop-hdfs/HdfsDesign.html</w:t>
      </w:r>
    </w:p>
    <w:p>
      <w:pPr>
        <w:spacing w:after="60"/>
        <w:ind w:left="317" w:hanging="317"/>
      </w:pPr>
      <w:r>
        <w:t>[3] Apache Spark. Spark 3.3.0 Documentation. https://spark.apache.org/docs/3.3.0/</w:t>
      </w:r>
    </w:p>
    <w:p>
      <w:pPr>
        <w:spacing w:after="60"/>
        <w:ind w:left="317" w:hanging="317"/>
      </w:pPr>
      <w:r>
        <w:t>[4] Streamlit. Documentation. https://docs.streamlit.io/</w:t>
      </w:r>
    </w:p>
    <w:p>
      <w:pPr>
        <w:spacing w:after="60"/>
        <w:ind w:left="317" w:hanging="317"/>
      </w:pPr>
      <w:r>
        <w:t>[5] Docker. Docker Compose Documentation. https://docs.docker.com/compose/</w:t>
      </w:r>
    </w:p>
    <w:sectPr w:rsidR="00FC693F" w:rsidRPr="0006063C" w:rsidSect="00034616">
      <w:headerReference w:type="default" r:id="rId9"/>
      <w:footerReference w:type="default" r:id="rId10"/>
      <w:pgSz w:w="12240" w:h="15840"/>
      <w:pgMar w:top="1037" w:right="1181" w:bottom="979"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6579"/>
        <w:sz w:val="16"/>
      </w:rPr>
      <w:t xml:space="preserve">Project report   •   Page </w:t>
    </w:r>
    <w:r>
      <w:rPr>
        <w:rFonts w:ascii="Arial" w:hAnsi="Arial"/>
        <w:color w:val="596579"/>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96579"/>
        <w:sz w:val="16"/>
      </w:rPr>
      <w:t>NIRMA UNIVERSITY  |  4CS101ME25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34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203451"/>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315B84"/>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8E3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contextualSpacing/>
    </w:pPr>
    <w:rPr>
      <w:rFonts w:asciiTheme="majorHAnsi" w:eastAsiaTheme="majorEastAsia" w:hAnsiTheme="majorHAnsi" w:cstheme="majorBidi" w:ascii="Arial" w:hAnsi="Arial"/>
      <w:b/>
      <w:color w:val="2034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