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A929" w14:textId="315E5C89" w:rsidR="002F75B5" w:rsidRPr="002F75B5" w:rsidRDefault="002F75B5" w:rsidP="00032072">
      <w:pPr>
        <w:pStyle w:val="Heading1"/>
        <w:ind w:left="10"/>
      </w:pPr>
      <w:r w:rsidRPr="002F75B5">
        <w:t>Supplement 3: Environmental-Specific Terms and Conditions</w:t>
      </w:r>
    </w:p>
    <w:p w14:paraId="0EDE6190" w14:textId="77777777" w:rsidR="002F75B5" w:rsidRPr="002F75B5" w:rsidRDefault="002F75B5" w:rsidP="00032072">
      <w:pPr>
        <w:ind w:left="-2572" w:firstLine="0"/>
        <w:jc w:val="both"/>
        <w:rPr>
          <w:rFonts w:ascii="Segoe Pro" w:hAnsi="Segoe Pro"/>
          <w:sz w:val="24"/>
          <w:szCs w:val="24"/>
        </w:rPr>
      </w:pPr>
      <w:r w:rsidRPr="002F75B5">
        <w:rPr>
          <w:rFonts w:ascii="Segoe Pro" w:hAnsi="Segoe Pro"/>
          <w:sz w:val="24"/>
          <w:szCs w:val="24"/>
        </w:rPr>
        <w:t xml:space="preserve"> </w:t>
      </w:r>
    </w:p>
    <w:p w14:paraId="495CA8A7" w14:textId="1CD364E3"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D</w:t>
      </w:r>
      <w:r>
        <w:rPr>
          <w:rFonts w:ascii="Segoe Pro" w:hAnsi="Segoe Pro"/>
          <w:sz w:val="24"/>
          <w:szCs w:val="24"/>
        </w:rPr>
        <w:t xml:space="preserve"> 3</w:t>
      </w:r>
      <w:r w:rsidRPr="002F75B5">
        <w:rPr>
          <w:rFonts w:ascii="Segoe Pro" w:hAnsi="Segoe Pro"/>
          <w:sz w:val="24"/>
          <w:szCs w:val="24"/>
        </w:rPr>
        <w:t xml:space="preserve">. </w:t>
      </w:r>
      <w:r w:rsidRPr="002F75B5">
        <w:rPr>
          <w:rFonts w:ascii="Segoe Pro" w:hAnsi="Segoe Pro"/>
          <w:sz w:val="24"/>
          <w:szCs w:val="24"/>
        </w:rPr>
        <w:tab/>
        <w:t>Photographs of the Project</w:t>
      </w:r>
    </w:p>
    <w:p w14:paraId="02BEF865"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Designer shall have the right to document, photograph or otherwise record all completed designs or installations of the Project, and to reproduce, publish and display such documentation, photographs or records for Designer’s promotional purposes in accordance with Section 6 of the Basic Terms and Conditions of this Agreement.</w:t>
      </w:r>
    </w:p>
    <w:p w14:paraId="734BF97A" w14:textId="237AAFFD" w:rsidR="002F75B5" w:rsidRPr="002F75B5" w:rsidRDefault="002F75B5" w:rsidP="002F75B5">
      <w:pPr>
        <w:ind w:left="0" w:firstLine="0"/>
        <w:jc w:val="both"/>
        <w:rPr>
          <w:rFonts w:ascii="Segoe Pro" w:hAnsi="Segoe Pro"/>
          <w:sz w:val="24"/>
          <w:szCs w:val="24"/>
        </w:rPr>
      </w:pPr>
      <w:r>
        <w:rPr>
          <w:rFonts w:ascii="Segoe Pro" w:hAnsi="Segoe Pro"/>
          <w:sz w:val="24"/>
          <w:szCs w:val="24"/>
        </w:rPr>
        <w:t>D</w:t>
      </w:r>
      <w:r w:rsidRPr="002F75B5">
        <w:rPr>
          <w:rFonts w:ascii="Segoe Pro" w:hAnsi="Segoe Pro"/>
          <w:sz w:val="24"/>
          <w:szCs w:val="24"/>
        </w:rPr>
        <w:t xml:space="preserve"> </w:t>
      </w:r>
      <w:r>
        <w:rPr>
          <w:rFonts w:ascii="Segoe Pro" w:hAnsi="Segoe Pro"/>
          <w:sz w:val="24"/>
          <w:szCs w:val="24"/>
        </w:rPr>
        <w:t>3.</w:t>
      </w:r>
      <w:r w:rsidRPr="002F75B5">
        <w:rPr>
          <w:rFonts w:ascii="Segoe Pro" w:hAnsi="Segoe Pro"/>
          <w:sz w:val="24"/>
          <w:szCs w:val="24"/>
        </w:rPr>
        <w:t xml:space="preserve">2. </w:t>
      </w:r>
      <w:r w:rsidRPr="002F75B5">
        <w:rPr>
          <w:rFonts w:ascii="Segoe Pro" w:hAnsi="Segoe Pro"/>
          <w:sz w:val="24"/>
          <w:szCs w:val="24"/>
        </w:rPr>
        <w:tab/>
        <w:t>Additional Client Responsibilities</w:t>
      </w:r>
    </w:p>
    <w:p w14:paraId="44AEC5C4"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Client acknowledges that Client shall be responsible for performing the following in a reasonable and timely manner: </w:t>
      </w:r>
    </w:p>
    <w:p w14:paraId="7FE5D820"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(a)</w:t>
      </w:r>
      <w:r w:rsidRPr="002F75B5">
        <w:rPr>
          <w:rFonts w:ascii="Segoe Pro" w:hAnsi="Segoe Pro"/>
          <w:sz w:val="24"/>
          <w:szCs w:val="24"/>
        </w:rPr>
        <w:tab/>
        <w:t xml:space="preserve">Communication of administrative or operational decisions if they affect the design or production of Deliverables, and coordination of required public approvals and meetings; </w:t>
      </w:r>
    </w:p>
    <w:p w14:paraId="2FA1415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(b)</w:t>
      </w:r>
      <w:r w:rsidRPr="002F75B5">
        <w:rPr>
          <w:rFonts w:ascii="Segoe Pro" w:hAnsi="Segoe Pro"/>
          <w:sz w:val="24"/>
          <w:szCs w:val="24"/>
        </w:rPr>
        <w:tab/>
        <w:t xml:space="preserve">Provision of accurate and complete information and materials requested by Designer such as, by way of example, not limitation, site plans, building plans and elevations, utility locations, color/material samples and all applicable codes, rules and regulation information; </w:t>
      </w:r>
    </w:p>
    <w:p w14:paraId="5855121B"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(c)</w:t>
      </w:r>
      <w:r w:rsidRPr="002F75B5">
        <w:rPr>
          <w:rFonts w:ascii="Segoe Pro" w:hAnsi="Segoe Pro"/>
          <w:sz w:val="24"/>
          <w:szCs w:val="24"/>
        </w:rPr>
        <w:tab/>
        <w:t xml:space="preserve">Provision of approved naming, nomenclature; securing approvals and correct copy from third parties such as, by way of example, not limitation, end users or donors as may be necessary; </w:t>
      </w:r>
    </w:p>
    <w:p w14:paraId="52A46BAD"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(d)</w:t>
      </w:r>
      <w:r w:rsidRPr="002F75B5">
        <w:rPr>
          <w:rFonts w:ascii="Segoe Pro" w:hAnsi="Segoe Pro"/>
          <w:sz w:val="24"/>
          <w:szCs w:val="24"/>
        </w:rPr>
        <w:tab/>
        <w:t xml:space="preserve">Final proofreading and written approval of all project documents including, by way of example, not limitation, artwork, message schedules, sign location plans and design drawings before their release for fabrication or installation. In the event that Client has approved work containing errors or omissions, such as, by way of example, </w:t>
      </w:r>
      <w:r w:rsidRPr="002F75B5">
        <w:rPr>
          <w:rFonts w:ascii="Segoe Pro" w:hAnsi="Segoe Pro"/>
          <w:sz w:val="24"/>
          <w:szCs w:val="24"/>
        </w:rPr>
        <w:lastRenderedPageBreak/>
        <w:t xml:space="preserve">not limitation, typographic errors or misspellings, Client shall incur the cost of correcting such errors; </w:t>
      </w:r>
    </w:p>
    <w:p w14:paraId="08C3ABD6"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(e)</w:t>
      </w:r>
      <w:r w:rsidRPr="002F75B5">
        <w:rPr>
          <w:rFonts w:ascii="Segoe Pro" w:hAnsi="Segoe Pro"/>
          <w:sz w:val="24"/>
          <w:szCs w:val="24"/>
        </w:rPr>
        <w:tab/>
        <w:t xml:space="preserve">Arranging for the documentation, permissions, licensing and implementation of all electrical, structural or mechanical elements needed to support, house or power signage; coordination of sign manufacture and installation with other trades; and </w:t>
      </w:r>
    </w:p>
    <w:p w14:paraId="55A3D801"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(f)</w:t>
      </w:r>
      <w:r w:rsidRPr="002F75B5">
        <w:rPr>
          <w:rFonts w:ascii="Segoe Pro" w:hAnsi="Segoe Pro"/>
          <w:sz w:val="24"/>
          <w:szCs w:val="24"/>
        </w:rPr>
        <w:tab/>
        <w:t>Bid solicitation and contract negotiation; sourcing, establishment of final pricing and contract terms directly with fabricators or vendors.</w:t>
      </w:r>
    </w:p>
    <w:p w14:paraId="09A27F19" w14:textId="3C80B40A" w:rsidR="002F75B5" w:rsidRPr="002F75B5" w:rsidRDefault="003C2074" w:rsidP="002F75B5">
      <w:pPr>
        <w:ind w:left="0" w:firstLine="0"/>
        <w:jc w:val="both"/>
        <w:rPr>
          <w:rFonts w:ascii="Segoe Pro" w:hAnsi="Segoe Pro"/>
          <w:sz w:val="24"/>
          <w:szCs w:val="24"/>
        </w:rPr>
      </w:pPr>
      <w:r>
        <w:rPr>
          <w:rFonts w:ascii="Segoe Pro" w:hAnsi="Segoe Pro"/>
          <w:sz w:val="24"/>
          <w:szCs w:val="24"/>
        </w:rPr>
        <w:t>D 3.</w:t>
      </w:r>
      <w:r w:rsidR="002F75B5" w:rsidRPr="002F75B5">
        <w:rPr>
          <w:rFonts w:ascii="Segoe Pro" w:hAnsi="Segoe Pro"/>
          <w:sz w:val="24"/>
          <w:szCs w:val="24"/>
        </w:rPr>
        <w:t xml:space="preserve">3. </w:t>
      </w:r>
      <w:r w:rsidR="002F75B5" w:rsidRPr="002F75B5">
        <w:rPr>
          <w:rFonts w:ascii="Segoe Pro" w:hAnsi="Segoe Pro"/>
          <w:sz w:val="24"/>
          <w:szCs w:val="24"/>
        </w:rPr>
        <w:tab/>
        <w:t>Engineering</w:t>
      </w:r>
    </w:p>
    <w:p w14:paraId="2D3D5FA5" w14:textId="48B4D6B6"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The Services shall include the selection and specifications for materials and construction details as described in the Proposal. However, Client acknowledges and agrees that Designer is not a licensed engineer or architect, and that responsibility for the interpretation of design drawings and the design and engineering of all work performed under this Agreement (“Engineering”) is the sole responsibility of Client and/or its architect, engineer or fabricator.</w:t>
      </w:r>
    </w:p>
    <w:p w14:paraId="268B0746" w14:textId="4674577E" w:rsidR="002F75B5" w:rsidRPr="002F75B5" w:rsidRDefault="003C2074" w:rsidP="002F75B5">
      <w:pPr>
        <w:ind w:left="0" w:firstLine="0"/>
        <w:jc w:val="both"/>
        <w:rPr>
          <w:rFonts w:ascii="Segoe Pro" w:hAnsi="Segoe Pro"/>
          <w:sz w:val="24"/>
          <w:szCs w:val="24"/>
        </w:rPr>
      </w:pPr>
      <w:r>
        <w:rPr>
          <w:rFonts w:ascii="Segoe Pro" w:hAnsi="Segoe Pro"/>
          <w:sz w:val="24"/>
          <w:szCs w:val="24"/>
        </w:rPr>
        <w:t>D 3.</w:t>
      </w:r>
      <w:r w:rsidR="002F75B5" w:rsidRPr="002F75B5">
        <w:rPr>
          <w:rFonts w:ascii="Segoe Pro" w:hAnsi="Segoe Pro"/>
          <w:sz w:val="24"/>
          <w:szCs w:val="24"/>
        </w:rPr>
        <w:t xml:space="preserve">4. </w:t>
      </w:r>
      <w:r w:rsidR="002F75B5" w:rsidRPr="002F75B5">
        <w:rPr>
          <w:rFonts w:ascii="Segoe Pro" w:hAnsi="Segoe Pro"/>
          <w:sz w:val="24"/>
          <w:szCs w:val="24"/>
        </w:rPr>
        <w:tab/>
        <w:t>Implementation</w:t>
      </w:r>
    </w:p>
    <w:p w14:paraId="3EA2C319"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Client expressly acknowledges and agrees that the estimates provided in the Proposal, at any time during the project for implementation charges such as, including, but not limited to, fabrication or installation are for planning purposes only. Such estimates represent the best judgment of Designer or its consultants at the time of the Proposal, but shall not be considered a representation or guarantee that project bids or costs will not vary. Client shall contract and pay those parties directly responsible for implementation services such as fabrication or installation (“Implementation”). Designer shall not be responsible for the quality or timeliness of the third-party Implementation services, irrespective of whether Designer assists or advises Client in evaluating, selecting or monitoring the provider of such services.</w:t>
      </w:r>
    </w:p>
    <w:p w14:paraId="0523788B" w14:textId="6F6ECEE8" w:rsidR="002F75B5" w:rsidRPr="002F75B5" w:rsidRDefault="003C2074" w:rsidP="002F75B5">
      <w:pPr>
        <w:ind w:left="0" w:firstLine="0"/>
        <w:jc w:val="both"/>
        <w:rPr>
          <w:rFonts w:ascii="Segoe Pro" w:hAnsi="Segoe Pro"/>
          <w:sz w:val="24"/>
          <w:szCs w:val="24"/>
        </w:rPr>
      </w:pPr>
      <w:r>
        <w:rPr>
          <w:rFonts w:ascii="Segoe Pro" w:hAnsi="Segoe Pro"/>
          <w:sz w:val="24"/>
          <w:szCs w:val="24"/>
        </w:rPr>
        <w:t>D 3.</w:t>
      </w:r>
      <w:r w:rsidR="002F75B5" w:rsidRPr="002F75B5">
        <w:rPr>
          <w:rFonts w:ascii="Segoe Pro" w:hAnsi="Segoe Pro"/>
          <w:sz w:val="24"/>
          <w:szCs w:val="24"/>
        </w:rPr>
        <w:t xml:space="preserve">5. </w:t>
      </w:r>
      <w:r w:rsidR="002F75B5" w:rsidRPr="002F75B5">
        <w:rPr>
          <w:rFonts w:ascii="Segoe Pro" w:hAnsi="Segoe Pro"/>
          <w:sz w:val="24"/>
          <w:szCs w:val="24"/>
        </w:rPr>
        <w:tab/>
        <w:t>Compliance with Laws</w:t>
      </w:r>
    </w:p>
    <w:p w14:paraId="3CD41389"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 </w:t>
      </w:r>
      <w:r w:rsidRPr="002F75B5">
        <w:rPr>
          <w:rFonts w:ascii="Segoe Pro" w:hAnsi="Segoe Pro"/>
          <w:sz w:val="24"/>
          <w:szCs w:val="24"/>
        </w:rPr>
        <w:tab/>
        <w:t xml:space="preserve"> Designer shall use commercially reasonable efforts to ensure that all Final Deliverables shall be designed to comply with the applicable rules and regulations such as the Americans with Disabilities Act (“ADA”). However, Designer is not an expert and makes no representations or warranties in connection with compliance with such rules, codes or regulations. The compliance of the Final Deliverables with any such rule, codes or regulations shall be the responsibility of Client. Designer shall use commercially reasonable efforts to ensure the suitability and conformance of the Final Deliverables.</w:t>
      </w:r>
    </w:p>
    <w:p w14:paraId="2EFE3A99" w14:textId="119A5C7B" w:rsidR="002F75B5" w:rsidRPr="002F75B5" w:rsidRDefault="003C2074" w:rsidP="002F75B5">
      <w:pPr>
        <w:ind w:left="0" w:firstLine="0"/>
        <w:jc w:val="both"/>
        <w:rPr>
          <w:rFonts w:ascii="Segoe Pro" w:hAnsi="Segoe Pro"/>
          <w:sz w:val="24"/>
          <w:szCs w:val="24"/>
        </w:rPr>
      </w:pPr>
      <w:r>
        <w:rPr>
          <w:rFonts w:ascii="Segoe Pro" w:hAnsi="Segoe Pro"/>
          <w:sz w:val="24"/>
          <w:szCs w:val="24"/>
        </w:rPr>
        <w:t>D 3.</w:t>
      </w:r>
      <w:r w:rsidR="002F75B5" w:rsidRPr="002F75B5">
        <w:rPr>
          <w:rFonts w:ascii="Segoe Pro" w:hAnsi="Segoe Pro"/>
          <w:sz w:val="24"/>
          <w:szCs w:val="24"/>
        </w:rPr>
        <w:t xml:space="preserve">6. </w:t>
      </w:r>
      <w:r w:rsidR="002F75B5" w:rsidRPr="002F75B5">
        <w:rPr>
          <w:rFonts w:ascii="Segoe Pro" w:hAnsi="Segoe Pro"/>
          <w:sz w:val="24"/>
          <w:szCs w:val="24"/>
        </w:rPr>
        <w:tab/>
        <w:t>Client Insurance</w:t>
      </w:r>
    </w:p>
    <w:p w14:paraId="6A1AD287" w14:textId="6DA181EA" w:rsid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Client shall maintain, during the term of this Agreement, at its sole expense, construction and maintenance liability, product liability, general business liability and advertising injury insurance from a recognized insurance carrier in the amount of at least  </w:t>
      </w:r>
      <w:r w:rsidR="007904BA">
        <w:rPr>
          <w:rFonts w:ascii="Segoe Pro" w:hAnsi="Segoe Pro"/>
          <w:sz w:val="24"/>
          <w:szCs w:val="24"/>
        </w:rPr>
        <w:t>____________________</w:t>
      </w:r>
      <w:r w:rsidRPr="002F75B5">
        <w:rPr>
          <w:rFonts w:ascii="Segoe Pro" w:hAnsi="Segoe Pro"/>
          <w:sz w:val="24"/>
          <w:szCs w:val="24"/>
        </w:rPr>
        <w:t xml:space="preserve"> million dollars ($ </w:t>
      </w:r>
      <w:r w:rsidRPr="002F75B5">
        <w:rPr>
          <w:rFonts w:ascii="Segoe Pro" w:hAnsi="Segoe Pro"/>
          <w:sz w:val="24"/>
          <w:szCs w:val="24"/>
        </w:rPr>
        <w:tab/>
        <w:t xml:space="preserve"> ,000,000.00) per occurrence. Such insurance shall name Designer individually as an additional named insured. Client shall provide a copy of said insurance policy to Designer at Designer’s request.</w:t>
      </w:r>
    </w:p>
    <w:p w14:paraId="5B53D23A" w14:textId="018CCC7C" w:rsidR="002F75B5" w:rsidRPr="002F75B5" w:rsidRDefault="002F75B5" w:rsidP="002F75B5">
      <w:pPr>
        <w:ind w:left="0" w:firstLine="0"/>
        <w:jc w:val="both"/>
        <w:rPr>
          <w:rFonts w:ascii="Segoe Pro" w:hAnsi="Segoe Pro"/>
          <w:sz w:val="24"/>
          <w:szCs w:val="24"/>
        </w:rPr>
      </w:pPr>
      <w:bookmarkStart w:id="0" w:name="_GoBack"/>
      <w:bookmarkEnd w:id="0"/>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BA580" w14:textId="77777777" w:rsidR="00A2454D" w:rsidRDefault="00A2454D">
      <w:pPr>
        <w:spacing w:after="0" w:line="240" w:lineRule="auto"/>
      </w:pPr>
      <w:r>
        <w:separator/>
      </w:r>
    </w:p>
  </w:endnote>
  <w:endnote w:type="continuationSeparator" w:id="0">
    <w:p w14:paraId="3CAFD1D4" w14:textId="77777777" w:rsidR="00A2454D" w:rsidRDefault="00A2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D192B" w14:textId="77777777" w:rsidR="00A2454D" w:rsidRDefault="00A2454D">
      <w:pPr>
        <w:spacing w:after="0" w:line="240" w:lineRule="auto"/>
      </w:pPr>
      <w:r>
        <w:separator/>
      </w:r>
    </w:p>
  </w:footnote>
  <w:footnote w:type="continuationSeparator" w:id="0">
    <w:p w14:paraId="248A28AC" w14:textId="77777777" w:rsidR="00A2454D" w:rsidRDefault="00A24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2072"/>
    <w:rsid w:val="002F75B5"/>
    <w:rsid w:val="003C2074"/>
    <w:rsid w:val="00721AC6"/>
    <w:rsid w:val="007904BA"/>
    <w:rsid w:val="007E1047"/>
    <w:rsid w:val="009C7B2D"/>
    <w:rsid w:val="00A14052"/>
    <w:rsid w:val="00A2454D"/>
    <w:rsid w:val="00B84CE8"/>
    <w:rsid w:val="00E134F7"/>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4DEB6C-E87D-4958-9DFF-BFDF191F9C05}"/>
</file>

<file path=customXml/itemProps2.xml><?xml version="1.0" encoding="utf-8"?>
<ds:datastoreItem xmlns:ds="http://schemas.openxmlformats.org/officeDocument/2006/customXml" ds:itemID="{DC796FC2-00E6-4063-9A5F-03B8CF2611E4}"/>
</file>

<file path=customXml/itemProps3.xml><?xml version="1.0" encoding="utf-8"?>
<ds:datastoreItem xmlns:ds="http://schemas.openxmlformats.org/officeDocument/2006/customXml" ds:itemID="{B2BB84FE-AB6E-4C71-95D5-1865B1135F20}"/>
</file>

<file path=docProps/app.xml><?xml version="1.0" encoding="utf-8"?>
<Properties xmlns="http://schemas.openxmlformats.org/officeDocument/2006/extended-properties" xmlns:vt="http://schemas.openxmlformats.org/officeDocument/2006/docPropsVTypes">
  <Template>Normal.dotm</Template>
  <TotalTime>335</TotalTime>
  <Pages>3</Pages>
  <Words>689</Words>
  <Characters>3892</Characters>
  <Application>Microsoft Office Word</Application>
  <DocSecurity>0</DocSecurity>
  <Lines>65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2020-10-07T09:46:00Z</dcterms:created>
  <dcterms:modified xsi:type="dcterms:W3CDTF">2020-10-08T12:42:00Z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