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3510A" w14:textId="2BE1702F" w:rsidR="002F75B5" w:rsidRPr="004B4788" w:rsidRDefault="00FE614F" w:rsidP="00B84CE8">
      <w:pPr>
        <w:pStyle w:val="Heading1"/>
        <w:ind w:left="10"/>
        <w:rPr>
          <w:rFonts w:ascii="Segoe Pro" w:hAnsi="Segoe Pro"/>
        </w:rPr>
      </w:pPr>
      <w:r>
        <w:rPr>
          <w:rFonts w:ascii="Segoe Pro" w:hAnsi="Segoe Pro"/>
          <w:lang w:val="es"/>
        </w:rPr>
        <w:t>Anexo</w:t>
      </w:r>
      <w:r w:rsidRPr="004B4788">
        <w:rPr>
          <w:rFonts w:ascii="Segoe Pro" w:hAnsi="Segoe Pro"/>
          <w:lang w:val="es"/>
        </w:rPr>
        <w:t xml:space="preserve"> </w:t>
      </w:r>
      <w:r w:rsidR="002F75B5" w:rsidRPr="004B4788">
        <w:rPr>
          <w:rFonts w:ascii="Segoe Pro" w:hAnsi="Segoe Pro"/>
          <w:lang w:val="es"/>
        </w:rPr>
        <w:t>A: Disposiciones sobre propiedad intelectual</w:t>
      </w:r>
      <w:r w:rsidR="00B84CE8" w:rsidRPr="004B4788">
        <w:rPr>
          <w:rFonts w:ascii="Segoe Pro" w:hAnsi="Segoe Pro"/>
          <w:lang w:val="es"/>
        </w:rPr>
        <w:t xml:space="preserve"> </w:t>
      </w:r>
      <w:r w:rsidR="00E61EE8" w:rsidRPr="004B4788">
        <w:rPr>
          <w:rFonts w:ascii="Segoe Pro" w:hAnsi="Segoe Pro"/>
          <w:lang w:val="es"/>
        </w:rPr>
        <w:t>- Opción</w:t>
      </w:r>
      <w:r w:rsidR="002F75B5" w:rsidRPr="004B4788">
        <w:rPr>
          <w:rFonts w:ascii="Segoe Pro" w:hAnsi="Segoe Pro"/>
          <w:lang w:val="es"/>
        </w:rPr>
        <w:t xml:space="preserve"> 3: Asignación de derechos</w:t>
      </w:r>
    </w:p>
    <w:p w14:paraId="204DC97F" w14:textId="77777777" w:rsidR="00B84CE8" w:rsidRPr="004B4788" w:rsidRDefault="00B84CE8" w:rsidP="00B84CE8">
      <w:pPr>
        <w:rPr>
          <w:rFonts w:ascii="Segoe Pro" w:hAnsi="Segoe Pro"/>
        </w:rPr>
      </w:pPr>
    </w:p>
    <w:p w14:paraId="3368C32D" w14:textId="53313324" w:rsidR="002F75B5" w:rsidRPr="004B4788" w:rsidRDefault="00CE78F1" w:rsidP="002F75B5">
      <w:pPr>
        <w:ind w:left="0" w:firstLine="0"/>
        <w:jc w:val="both"/>
        <w:rPr>
          <w:rFonts w:ascii="Segoe Pro" w:hAnsi="Segoe Pro"/>
          <w:sz w:val="24"/>
          <w:szCs w:val="24"/>
        </w:rPr>
      </w:pPr>
      <w:r w:rsidRPr="004B4788">
        <w:rPr>
          <w:rFonts w:ascii="Segoe Pro" w:hAnsi="Segoe Pro"/>
          <w:sz w:val="24"/>
          <w:szCs w:val="24"/>
          <w:lang w:val="es"/>
        </w:rPr>
        <w:t>IP</w:t>
      </w:r>
      <w:bookmarkStart w:id="0" w:name="_GoBack"/>
      <w:bookmarkEnd w:id="0"/>
      <w:r w:rsidR="002F75B5" w:rsidRPr="004B4788">
        <w:rPr>
          <w:rFonts w:ascii="Segoe Pro" w:hAnsi="Segoe Pro"/>
          <w:sz w:val="24"/>
          <w:szCs w:val="24"/>
          <w:lang w:val="es"/>
        </w:rPr>
        <w:t>. Derechos sobre los resultados finales</w:t>
      </w:r>
    </w:p>
    <w:p w14:paraId="55146751" w14:textId="5C7C4F37" w:rsidR="002F75B5" w:rsidRPr="004B4788" w:rsidRDefault="00CE78F1" w:rsidP="002F75B5">
      <w:pPr>
        <w:ind w:left="0" w:firstLine="0"/>
        <w:jc w:val="both"/>
        <w:rPr>
          <w:rFonts w:ascii="Segoe Pro" w:hAnsi="Segoe Pro"/>
          <w:sz w:val="24"/>
          <w:szCs w:val="24"/>
        </w:rPr>
      </w:pPr>
      <w:r w:rsidRPr="004B4788">
        <w:rPr>
          <w:rFonts w:ascii="Segoe Pro" w:hAnsi="Segoe Pro"/>
          <w:sz w:val="24"/>
          <w:szCs w:val="24"/>
          <w:lang w:val="es"/>
        </w:rPr>
        <w:t xml:space="preserve">IP </w:t>
      </w:r>
      <w:r w:rsidR="002F75B5" w:rsidRPr="004B4788">
        <w:rPr>
          <w:rFonts w:ascii="Segoe Pro" w:hAnsi="Segoe Pro"/>
          <w:sz w:val="24"/>
          <w:szCs w:val="24"/>
          <w:lang w:val="es"/>
        </w:rPr>
        <w:t xml:space="preserve">1.1 Obras finales.  Al completar los Servicios, y expresamente condicionado al pago completo de todas las tarifas y costos adeudados, </w:t>
      </w:r>
      <w:r w:rsidR="00C81B6E">
        <w:rPr>
          <w:rFonts w:ascii="Segoe Pro" w:hAnsi="Segoe Pro"/>
          <w:sz w:val="24"/>
          <w:szCs w:val="24"/>
          <w:lang w:val="es"/>
        </w:rPr>
        <w:t>El Diseñador</w:t>
      </w:r>
      <w:r w:rsidR="002F75B5" w:rsidRPr="004B4788">
        <w:rPr>
          <w:rFonts w:ascii="Segoe Pro" w:hAnsi="Segoe Pro"/>
          <w:sz w:val="24"/>
          <w:szCs w:val="24"/>
          <w:lang w:val="es"/>
        </w:rPr>
        <w:t xml:space="preserve"> asigna al Cliente todos los Derechos de Autor del Diseñador en y para las Obras Finales, incluidas las Marcas Comerciales, y el Diseñador entregará al Cliente todos los Archivos de Trabajo relacionados con las Obras Finales. El Diseñador cooperará con el Cliente y ejecutará cualquier documento adicional razonablemente solicitado por el Cliente para evidenciar dicha asignación, y el Cliente reembolsará a </w:t>
      </w:r>
      <w:r w:rsidR="00C81B6E">
        <w:rPr>
          <w:rFonts w:ascii="Segoe Pro" w:hAnsi="Segoe Pro"/>
          <w:sz w:val="24"/>
          <w:szCs w:val="24"/>
          <w:lang w:val="es"/>
        </w:rPr>
        <w:t>El Diseñador</w:t>
      </w:r>
      <w:r w:rsidR="002F75B5" w:rsidRPr="004B4788">
        <w:rPr>
          <w:rFonts w:ascii="Segoe Pro" w:hAnsi="Segoe Pro"/>
          <w:sz w:val="24"/>
          <w:szCs w:val="24"/>
          <w:lang w:val="es"/>
        </w:rPr>
        <w:t xml:space="preserve"> el tiempo razonable y los gastos de bolsillo de </w:t>
      </w:r>
      <w:r w:rsidR="00C81B6E">
        <w:rPr>
          <w:rFonts w:ascii="Segoe Pro" w:hAnsi="Segoe Pro"/>
          <w:sz w:val="24"/>
          <w:szCs w:val="24"/>
          <w:lang w:val="es"/>
        </w:rPr>
        <w:t>El Diseñador</w:t>
      </w:r>
      <w:r w:rsidR="002F75B5" w:rsidRPr="004B4788">
        <w:rPr>
          <w:rFonts w:ascii="Segoe Pro" w:hAnsi="Segoe Pro"/>
          <w:sz w:val="24"/>
          <w:szCs w:val="24"/>
          <w:lang w:val="es"/>
        </w:rPr>
        <w:t xml:space="preserve"> en relación con los mismos.</w:t>
      </w:r>
    </w:p>
    <w:p w14:paraId="0ACC83B1" w14:textId="58D3081A"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 xml:space="preserve">IP 1.2 Marcas comerciales. El Cliente será el único responsable de garantizar que las Marcas no infrinjan los derechos de terceros, y el Cliente indemnizará, guardará y eximirá a </w:t>
      </w:r>
      <w:r w:rsidR="00C81B6E">
        <w:rPr>
          <w:rFonts w:ascii="Segoe Pro" w:hAnsi="Segoe Pro"/>
          <w:sz w:val="24"/>
          <w:szCs w:val="24"/>
          <w:lang w:val="es"/>
        </w:rPr>
        <w:t>El Diseñador</w:t>
      </w:r>
      <w:r w:rsidRPr="004B4788">
        <w:rPr>
          <w:rFonts w:ascii="Segoe Pro" w:hAnsi="Segoe Pro"/>
          <w:sz w:val="24"/>
          <w:szCs w:val="24"/>
          <w:lang w:val="es"/>
        </w:rPr>
        <w:t xml:space="preserve"> de todos y cada uno de los daños, responsabilidades, costos, pérdidas o gastos que surjan de cualquier reclamación, demanda o acción de un tercero que alegue infracción de marca registrada, o que surja de la falta de autorización de marca comercial o </w:t>
      </w:r>
      <w:r w:rsidR="00E61EE8" w:rsidRPr="004B4788">
        <w:rPr>
          <w:rFonts w:ascii="Segoe Pro" w:hAnsi="Segoe Pro"/>
          <w:sz w:val="24"/>
          <w:szCs w:val="24"/>
          <w:lang w:val="es"/>
        </w:rPr>
        <w:t>permisos,</w:t>
      </w:r>
      <w:r w:rsidRPr="004B4788">
        <w:rPr>
          <w:rFonts w:ascii="Segoe Pro" w:hAnsi="Segoe Pro"/>
          <w:sz w:val="24"/>
          <w:szCs w:val="24"/>
          <w:lang w:val="es"/>
        </w:rPr>
        <w:t xml:space="preserve"> para el uso de Marcas.</w:t>
      </w:r>
    </w:p>
    <w:p w14:paraId="62E4DB0A" w14:textId="2483F5A6"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 xml:space="preserve">IP 1.3 Contenido del cliente. El Contenido del Cliente, incluidas las Marcas comerciales preexistentes, seguirá siendo propiedad exclusiva del Cliente o de sus respectivos proveedores, y el Cliente o sus proveedores serán los únicos propietarios de todas las marcas comerciales, secretos comerciales, patentes, derechos de autor y otros derechos en relación con los mismos. Por la presente, el Cliente otorga a </w:t>
      </w:r>
      <w:r w:rsidR="00C81B6E">
        <w:rPr>
          <w:rFonts w:ascii="Segoe Pro" w:hAnsi="Segoe Pro"/>
          <w:sz w:val="24"/>
          <w:szCs w:val="24"/>
          <w:lang w:val="es"/>
        </w:rPr>
        <w:t>El Diseñador</w:t>
      </w:r>
      <w:r w:rsidRPr="004B4788">
        <w:rPr>
          <w:rFonts w:ascii="Segoe Pro" w:hAnsi="Segoe Pro"/>
          <w:sz w:val="24"/>
          <w:szCs w:val="24"/>
          <w:lang w:val="es"/>
        </w:rPr>
        <w:t xml:space="preserve"> una licencia no exclusiva e intransferible para usar, reproducir, modificar, mostrar y publicar el Contenido del Cliente únicamente en relación con el desempeño de los Servicios por parte de </w:t>
      </w:r>
      <w:r w:rsidR="00C81B6E">
        <w:rPr>
          <w:rFonts w:ascii="Segoe Pro" w:hAnsi="Segoe Pro"/>
          <w:sz w:val="24"/>
          <w:szCs w:val="24"/>
          <w:lang w:val="es"/>
        </w:rPr>
        <w:t>El Diseñador</w:t>
      </w:r>
      <w:r w:rsidRPr="004B4788">
        <w:rPr>
          <w:rFonts w:ascii="Segoe Pro" w:hAnsi="Segoe Pro"/>
          <w:sz w:val="24"/>
          <w:szCs w:val="24"/>
          <w:lang w:val="es"/>
        </w:rPr>
        <w:t xml:space="preserve"> y los usos promocionales de los Productos según lo autorizado en este Acuerdo.</w:t>
      </w:r>
    </w:p>
    <w:p w14:paraId="14C70F25" w14:textId="36ECCF1F"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lastRenderedPageBreak/>
        <w:t xml:space="preserve">IP 1.4 Materiales de terceros. Los derechos de propiedad intelectual de los Materiales de Terceros serán propiedad de los terceros respectivos. El Diseñador informará al Cliente de todos los Materiales de Terceros que el Diseñador adquiera que el Cliente pueda necesitar licenciar a expensas del Cliente, y a menos que el Cliente lo disponga, </w:t>
      </w:r>
      <w:r w:rsidR="00C81B6E">
        <w:rPr>
          <w:rFonts w:ascii="Segoe Pro" w:hAnsi="Segoe Pro"/>
          <w:sz w:val="24"/>
          <w:szCs w:val="24"/>
          <w:lang w:val="es"/>
        </w:rPr>
        <w:t>El Diseñador</w:t>
      </w:r>
      <w:r w:rsidRPr="004B4788">
        <w:rPr>
          <w:rFonts w:ascii="Segoe Pro" w:hAnsi="Segoe Pro"/>
          <w:sz w:val="24"/>
          <w:szCs w:val="24"/>
          <w:lang w:val="es"/>
        </w:rPr>
        <w:t xml:space="preserve"> obtendrá una licencia para que el Cliente utilice los Materiales de Terceros de acuerdo con los derechos de uso otorgados en este documento. El Cliente indemnizará, guardará y eximirá a </w:t>
      </w:r>
      <w:r w:rsidR="00C81B6E">
        <w:rPr>
          <w:rFonts w:ascii="Segoe Pro" w:hAnsi="Segoe Pro"/>
          <w:sz w:val="24"/>
          <w:szCs w:val="24"/>
          <w:lang w:val="es"/>
        </w:rPr>
        <w:t>El Diseñador</w:t>
      </w:r>
      <w:r w:rsidRPr="004B4788">
        <w:rPr>
          <w:rFonts w:ascii="Segoe Pro" w:hAnsi="Segoe Pro"/>
          <w:sz w:val="24"/>
          <w:szCs w:val="24"/>
          <w:lang w:val="es"/>
        </w:rPr>
        <w:t xml:space="preserve"> de todos y cada uno de los daños, responsabilidades, costos, pérdidas o gastos que surjan de cualquier reclamo, demanda o acción de un tercero que surja de la falta de responsabilidad del Cliente por obtener derechos de autor, marca registrada, publicidad, privacidad, difamación u otras liberaciones o permisos con respecto a los materiales incluidos en las Obras Finales a petición del Cliente.</w:t>
      </w:r>
    </w:p>
    <w:p w14:paraId="339CB345"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IP 2. Derechos reservados al diseñador</w:t>
      </w:r>
    </w:p>
    <w:p w14:paraId="23386B91" w14:textId="6DB7103F"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 xml:space="preserve">IP 2.1 Archivos preliminares de trabajo/trabajo. </w:t>
      </w:r>
      <w:r w:rsidR="00C81B6E">
        <w:rPr>
          <w:rFonts w:ascii="Segoe Pro" w:hAnsi="Segoe Pro"/>
          <w:sz w:val="24"/>
          <w:szCs w:val="24"/>
          <w:lang w:val="es"/>
        </w:rPr>
        <w:t>El Diseñador</w:t>
      </w:r>
      <w:r w:rsidRPr="004B4788">
        <w:rPr>
          <w:rFonts w:ascii="Segoe Pro" w:hAnsi="Segoe Pro"/>
          <w:sz w:val="24"/>
          <w:szCs w:val="24"/>
          <w:lang w:val="es"/>
        </w:rPr>
        <w:t xml:space="preserve"> conserva todos los derechos de propiedad, incluidos la propiedad, los derechos de propiedad intelectual y los derechos de autor, en y para todas las obras preliminares y archivos de trabajo, y el Cliente devolverá al Diseñador todas las obras preliminares y archivos de trabajo en posesión del Cliente dentro de los treinta (30) días posteriores a la finalización de los Servicios.</w:t>
      </w:r>
    </w:p>
    <w:p w14:paraId="46836F0E" w14:textId="7D255B2B"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 xml:space="preserve">IP 2.2 Obra de arte original. </w:t>
      </w:r>
      <w:r w:rsidR="00C81B6E">
        <w:rPr>
          <w:rFonts w:ascii="Segoe Pro" w:hAnsi="Segoe Pro"/>
          <w:sz w:val="24"/>
          <w:szCs w:val="24"/>
          <w:lang w:val="es"/>
        </w:rPr>
        <w:t>El Diseñador</w:t>
      </w:r>
      <w:r w:rsidRPr="004B4788">
        <w:rPr>
          <w:rFonts w:ascii="Segoe Pro" w:hAnsi="Segoe Pro"/>
          <w:sz w:val="24"/>
          <w:szCs w:val="24"/>
          <w:lang w:val="es"/>
        </w:rPr>
        <w:t xml:space="preserve"> conserva la propiedad de cualquier obra de arte original físicamente tangible que incluya Obras Finales, incluidos todos los derechos para mostrar o vender dichas obras de arte. El Cliente deberá devolver todas las ilustraciones originales a </w:t>
      </w:r>
      <w:r w:rsidR="00C81B6E">
        <w:rPr>
          <w:rFonts w:ascii="Segoe Pro" w:hAnsi="Segoe Pro"/>
          <w:sz w:val="24"/>
          <w:szCs w:val="24"/>
          <w:lang w:val="es"/>
        </w:rPr>
        <w:t>El Diseñador</w:t>
      </w:r>
      <w:r w:rsidRPr="004B4788">
        <w:rPr>
          <w:rFonts w:ascii="Segoe Pro" w:hAnsi="Segoe Pro"/>
          <w:sz w:val="24"/>
          <w:szCs w:val="24"/>
          <w:lang w:val="es"/>
        </w:rPr>
        <w:t xml:space="preserve"> dentro de los treinta (30) días posteriores a la finalización de los Servicios.</w:t>
      </w:r>
    </w:p>
    <w:p w14:paraId="3B485852" w14:textId="1AB6CA45" w:rsidR="002F75B5" w:rsidRPr="004B4788" w:rsidRDefault="007904BA" w:rsidP="002F75B5">
      <w:pPr>
        <w:ind w:left="0" w:firstLine="0"/>
        <w:jc w:val="both"/>
        <w:rPr>
          <w:rFonts w:ascii="Segoe Pro" w:hAnsi="Segoe Pro"/>
          <w:sz w:val="24"/>
          <w:szCs w:val="24"/>
        </w:rPr>
      </w:pPr>
      <w:r w:rsidRPr="004B4788">
        <w:rPr>
          <w:rFonts w:ascii="Segoe Pro" w:hAnsi="Segoe Pro"/>
          <w:sz w:val="24"/>
          <w:szCs w:val="24"/>
          <w:lang w:val="es"/>
        </w:rPr>
        <w:t xml:space="preserve">IP 2.3 Herramientas de diseño. Las Herramientas de Diseño y todos los derechos de propiedad intelectual en los mismos, incluidos los Derechos de Autor, serán propiedad exclusiva de </w:t>
      </w:r>
      <w:r w:rsidR="00C81B6E">
        <w:rPr>
          <w:rFonts w:ascii="Segoe Pro" w:hAnsi="Segoe Pro"/>
          <w:sz w:val="24"/>
          <w:szCs w:val="24"/>
          <w:lang w:val="es"/>
        </w:rPr>
        <w:t>El Diseñador</w:t>
      </w:r>
      <w:r w:rsidRPr="004B4788">
        <w:rPr>
          <w:rFonts w:ascii="Segoe Pro" w:hAnsi="Segoe Pro"/>
          <w:sz w:val="24"/>
          <w:szCs w:val="24"/>
          <w:lang w:val="es"/>
        </w:rPr>
        <w:t xml:space="preserve">. Por la presente, el Diseñador otorga al Cliente una licencia no exclusiva e intransferible (distinta del derecho a sublicenciar dichos usos al editor </w:t>
      </w:r>
      <w:r w:rsidRPr="004B4788">
        <w:rPr>
          <w:rFonts w:ascii="Segoe Pro" w:hAnsi="Segoe Pro"/>
          <w:sz w:val="24"/>
          <w:szCs w:val="24"/>
          <w:lang w:val="es"/>
        </w:rPr>
        <w:lastRenderedPageBreak/>
        <w:t xml:space="preserve">del Cliente, alojamiento web o proveedores de servicios de Internet), licencia perpetua y mundial para usar las Herramientas de diseñador únicamente con los Productos Finales para el Proyecto. El Cliente no puede directa o indirectamente, de ninguna forma o forma, descompilar, realizar ingeniería inversa, ni desensamblar o modificar de otro modo cualquier Herramienta de </w:t>
      </w:r>
      <w:r w:rsidR="00C81B6E">
        <w:rPr>
          <w:rFonts w:ascii="Segoe Pro" w:hAnsi="Segoe Pro"/>
          <w:sz w:val="24"/>
          <w:szCs w:val="24"/>
          <w:lang w:val="es"/>
        </w:rPr>
        <w:t>El Diseñador</w:t>
      </w:r>
      <w:r w:rsidRPr="004B4788">
        <w:rPr>
          <w:rFonts w:ascii="Segoe Pro" w:hAnsi="Segoe Pro"/>
          <w:sz w:val="24"/>
          <w:szCs w:val="24"/>
          <w:lang w:val="es"/>
        </w:rPr>
        <w:t xml:space="preserve"> que incluya software o tecnología.</w:t>
      </w:r>
    </w:p>
    <w:p w14:paraId="6171170E"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rPr>
        <w:t xml:space="preserve"> </w:t>
      </w:r>
    </w:p>
    <w:p w14:paraId="5B53D23A" w14:textId="4AB469AA"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rPr>
        <w:t xml:space="preserve"> </w:t>
      </w:r>
    </w:p>
    <w:sectPr w:rsidR="002F75B5" w:rsidRPr="004B4788" w:rsidSect="002F75B5">
      <w:headerReference w:type="even" r:id="rId10"/>
      <w:headerReference w:type="default" r:id="rId11"/>
      <w:footerReference w:type="even" r:id="rId12"/>
      <w:footerReference w:type="default" r:id="rId13"/>
      <w:footerReference w:type="first" r:id="rId14"/>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F3064" w14:textId="77777777" w:rsidR="007D1842" w:rsidRDefault="007D1842">
      <w:pPr>
        <w:spacing w:after="0" w:line="240" w:lineRule="auto"/>
      </w:pPr>
      <w:r>
        <w:rPr>
          <w:lang w:val="es"/>
        </w:rPr>
        <w:separator/>
      </w:r>
    </w:p>
  </w:endnote>
  <w:endnote w:type="continuationSeparator" w:id="0">
    <w:p w14:paraId="5EBC8C1F" w14:textId="77777777" w:rsidR="007D1842" w:rsidRDefault="007D1842">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FC111" w14:textId="77777777" w:rsidR="007D1842" w:rsidRDefault="007D1842">
      <w:pPr>
        <w:spacing w:after="0" w:line="240" w:lineRule="auto"/>
      </w:pPr>
      <w:r>
        <w:rPr>
          <w:lang w:val="es"/>
        </w:rPr>
        <w:separator/>
      </w:r>
    </w:p>
  </w:footnote>
  <w:footnote w:type="continuationSeparator" w:id="0">
    <w:p w14:paraId="3B8BAA12" w14:textId="77777777" w:rsidR="007D1842" w:rsidRDefault="007D1842">
      <w:pPr>
        <w:spacing w:after="0"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F5AD0" w14:textId="3CA7139E" w:rsidR="002C6640" w:rsidRDefault="002C6640" w:rsidP="002C6640">
    <w:pPr>
      <w:pStyle w:val="Header"/>
      <w:tabs>
        <w:tab w:val="clear" w:pos="4419"/>
        <w:tab w:val="clear" w:pos="8838"/>
        <w:tab w:val="left" w:pos="7020"/>
      </w:tabs>
    </w:pPr>
    <w:r>
      <w:rPr>
        <w:noProof/>
        <w:lang w:val="es"/>
      </w:rPr>
      <w:drawing>
        <wp:anchor distT="0" distB="0" distL="114300" distR="114300" simplePos="0" relativeHeight="251660288" behindDoc="1" locked="0" layoutInCell="1" allowOverlap="1" wp14:anchorId="4A9F527E" wp14:editId="214720C8">
          <wp:simplePos x="0" y="0"/>
          <wp:positionH relativeFrom="column">
            <wp:posOffset>4010025</wp:posOffset>
          </wp:positionH>
          <wp:positionV relativeFrom="paragraph">
            <wp:posOffset>-85725</wp:posOffset>
          </wp:positionV>
          <wp:extent cx="1563529" cy="266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lang w:val="es"/>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9AF2EB4"/>
    <w:multiLevelType w:val="hybridMultilevel"/>
    <w:tmpl w:val="3EA22B02"/>
    <w:lvl w:ilvl="0" w:tplc="E28EF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0D6E705B"/>
    <w:multiLevelType w:val="hybridMultilevel"/>
    <w:tmpl w:val="44E2E648"/>
    <w:lvl w:ilvl="0" w:tplc="2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56C87"/>
    <w:multiLevelType w:val="hybridMultilevel"/>
    <w:tmpl w:val="9F447CAE"/>
    <w:lvl w:ilvl="0" w:tplc="240A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1D805BDC"/>
    <w:multiLevelType w:val="hybridMultilevel"/>
    <w:tmpl w:val="86C0DEA4"/>
    <w:lvl w:ilvl="0" w:tplc="240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37724C0F"/>
    <w:multiLevelType w:val="hybridMultilevel"/>
    <w:tmpl w:val="4990A7E6"/>
    <w:lvl w:ilvl="0" w:tplc="2ADC9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4"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5"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D756C7"/>
    <w:multiLevelType w:val="hybridMultilevel"/>
    <w:tmpl w:val="B7B2AC9E"/>
    <w:lvl w:ilvl="0" w:tplc="F176D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8"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8"/>
  </w:num>
  <w:num w:numId="2">
    <w:abstractNumId w:val="8"/>
  </w:num>
  <w:num w:numId="3">
    <w:abstractNumId w:val="7"/>
  </w:num>
  <w:num w:numId="4">
    <w:abstractNumId w:val="0"/>
  </w:num>
  <w:num w:numId="5">
    <w:abstractNumId w:val="6"/>
  </w:num>
  <w:num w:numId="6">
    <w:abstractNumId w:val="11"/>
  </w:num>
  <w:num w:numId="7">
    <w:abstractNumId w:val="2"/>
  </w:num>
  <w:num w:numId="8">
    <w:abstractNumId w:val="17"/>
  </w:num>
  <w:num w:numId="9">
    <w:abstractNumId w:val="14"/>
  </w:num>
  <w:num w:numId="10">
    <w:abstractNumId w:val="13"/>
  </w:num>
  <w:num w:numId="11">
    <w:abstractNumId w:val="5"/>
  </w:num>
  <w:num w:numId="12">
    <w:abstractNumId w:val="10"/>
  </w:num>
  <w:num w:numId="13">
    <w:abstractNumId w:val="15"/>
  </w:num>
  <w:num w:numId="14">
    <w:abstractNumId w:val="3"/>
  </w:num>
  <w:num w:numId="15">
    <w:abstractNumId w:val="16"/>
  </w:num>
  <w:num w:numId="16">
    <w:abstractNumId w:val="4"/>
  </w:num>
  <w:num w:numId="17">
    <w:abstractNumId w:val="12"/>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QUA1sPk0ywAAAA="/>
  </w:docVars>
  <w:rsids>
    <w:rsidRoot w:val="00EC11D9"/>
    <w:rsid w:val="00032072"/>
    <w:rsid w:val="0010404E"/>
    <w:rsid w:val="00221EEC"/>
    <w:rsid w:val="00257BEB"/>
    <w:rsid w:val="002807AB"/>
    <w:rsid w:val="002C6640"/>
    <w:rsid w:val="002F75B5"/>
    <w:rsid w:val="00340B3D"/>
    <w:rsid w:val="003C2074"/>
    <w:rsid w:val="003E015E"/>
    <w:rsid w:val="004229C4"/>
    <w:rsid w:val="004B4788"/>
    <w:rsid w:val="00630961"/>
    <w:rsid w:val="00721AC6"/>
    <w:rsid w:val="007904BA"/>
    <w:rsid w:val="007D1842"/>
    <w:rsid w:val="00983834"/>
    <w:rsid w:val="009B1B60"/>
    <w:rsid w:val="00A0043D"/>
    <w:rsid w:val="00B84CE8"/>
    <w:rsid w:val="00C81B6E"/>
    <w:rsid w:val="00CE78F1"/>
    <w:rsid w:val="00E134F7"/>
    <w:rsid w:val="00E61EE8"/>
    <w:rsid w:val="00EA15B4"/>
    <w:rsid w:val="00EC11D9"/>
    <w:rsid w:val="00EE2190"/>
    <w:rsid w:val="00FE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 w:type="character" w:styleId="PlaceholderText">
    <w:name w:val="Placeholder Text"/>
    <w:basedOn w:val="DefaultParagraphFont"/>
    <w:uiPriority w:val="99"/>
    <w:semiHidden/>
    <w:rsid w:val="004B4788"/>
    <w:rPr>
      <w:color w:val="808080"/>
    </w:rPr>
  </w:style>
  <w:style w:type="paragraph" w:styleId="BlockText">
    <w:name w:val="Block Text"/>
    <w:basedOn w:val="Normal"/>
    <w:uiPriority w:val="99"/>
    <w:unhideWhenUsed/>
    <w:rsid w:val="00E61EE8"/>
    <w:pPr>
      <w:ind w:left="1440" w:firstLine="0"/>
    </w:pPr>
    <w:rPr>
      <w:rFonts w:ascii="Segoe Pro" w:hAnsi="Segoe Pro"/>
      <w:sz w:val="24"/>
      <w:szCs w:val="24"/>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9C98AB-C768-481C-87EA-37E8F772E9F9}">
  <ds:schemaRefs>
    <ds:schemaRef ds:uri="http://schemas.microsoft.com/sharepoint/v3/contenttype/forms"/>
  </ds:schemaRefs>
</ds:datastoreItem>
</file>

<file path=customXml/itemProps2.xml><?xml version="1.0" encoding="utf-8"?>
<ds:datastoreItem xmlns:ds="http://schemas.openxmlformats.org/officeDocument/2006/customXml" ds:itemID="{6664A63A-62DC-470F-AEC8-EC11F0FF5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E30B5A-8A60-4C3F-9159-E86C034A6F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10</cp:revision>
  <dcterms:created xsi:type="dcterms:W3CDTF">2020-10-07T09:46:00Z</dcterms:created>
  <dcterms:modified xsi:type="dcterms:W3CDTF">2020-11-24T11:22:00Z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