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86EC2" w14:textId="77777777" w:rsidR="00463FA5" w:rsidRPr="004B4788" w:rsidRDefault="00463FA5" w:rsidP="00463FA5">
      <w:pPr>
        <w:pStyle w:val="Heading1"/>
        <w:ind w:left="10"/>
        <w:rPr>
          <w:rFonts w:ascii="Segoe Pro" w:hAnsi="Segoe Pro"/>
        </w:rPr>
      </w:pPr>
      <w:r w:rsidRPr="004B4788">
        <w:rPr>
          <w:rFonts w:ascii="Segoe Pro" w:hAnsi="Segoe Pro"/>
          <w:lang w:val="es"/>
        </w:rPr>
        <w:t>Suplemento 3: Términos y condiciones específicos para el medio ambiente</w:t>
      </w:r>
    </w:p>
    <w:p w14:paraId="002DDD60" w14:textId="77777777" w:rsidR="00463FA5" w:rsidRPr="004B4788" w:rsidRDefault="00463FA5" w:rsidP="00463FA5">
      <w:pPr>
        <w:ind w:left="-2572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</w:rPr>
        <w:t xml:space="preserve"> </w:t>
      </w:r>
    </w:p>
    <w:p w14:paraId="7A9257A1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>D 3. Fotografías del proyecto</w:t>
      </w:r>
    </w:p>
    <w:p w14:paraId="5B38BEB0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ab/>
        <w:t xml:space="preserve">  El Diseñador tendrá el derecho de documentar, fotografiar o grabar de otro modo todos los diseños o instalaciones completados del Proyecto, y de reproducir, publicar y mostrar dicha documentación, fotografías o registros para fines promocionales del Diseñador de acuerdo con la Sección 6 de los Términos y Condiciones Básicos de este Acuerdo.</w:t>
      </w:r>
    </w:p>
    <w:p w14:paraId="2AF85043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>D 3.</w:t>
      </w:r>
      <w:r w:rsidRPr="004B4788">
        <w:rPr>
          <w:rFonts w:ascii="Segoe Pro" w:hAnsi="Segoe Pro"/>
          <w:lang w:val="es"/>
        </w:rPr>
        <w:t xml:space="preserve"> </w:t>
      </w:r>
      <w:r w:rsidRPr="004B4788">
        <w:rPr>
          <w:rFonts w:ascii="Segoe Pro" w:hAnsi="Segoe Pro"/>
          <w:sz w:val="24"/>
          <w:szCs w:val="24"/>
          <w:lang w:val="es"/>
        </w:rPr>
        <w:t>2. Responsabilidades adicionales del cliente</w:t>
      </w:r>
    </w:p>
    <w:p w14:paraId="132BEA84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ab/>
        <w:t xml:space="preserve">  El Cliente reconoce que el Cliente será responsable de realizar lo</w:t>
      </w:r>
      <w:bookmarkStart w:id="0" w:name="_GoBack"/>
      <w:bookmarkEnd w:id="0"/>
      <w:r w:rsidRPr="004B4788">
        <w:rPr>
          <w:rFonts w:ascii="Segoe Pro" w:hAnsi="Segoe Pro"/>
          <w:sz w:val="24"/>
          <w:szCs w:val="24"/>
          <w:lang w:val="es"/>
        </w:rPr>
        <w:t xml:space="preserve"> siguiente de manera razonable y oportuna: </w:t>
      </w:r>
    </w:p>
    <w:p w14:paraId="16D08B12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 xml:space="preserve">(a) Comunicación de decisiones administrativas u operativas si afectan al diseño o producción de Productos, y coordinación de las aprobaciones y reuniones públicas requeridas; </w:t>
      </w:r>
    </w:p>
    <w:p w14:paraId="5973DF18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 xml:space="preserve">(b) Suministro de información y materiales precisos y completos solicitados por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, tales como, a modo de ejemplo, no limitación, planos de sitio, planos de edificios y elevaciones, ubicaciones de servicios públicos, muestras de color/material y todos los códigos, reglas e información de regulación aplicables; </w:t>
      </w:r>
    </w:p>
    <w:p w14:paraId="4D428657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 xml:space="preserve">(c) Disposición de nombres aprobados, nomenclatura; asegurar las aprobaciones y la copia correcta de terceros, como, a modo de ejemplo, no limitación, usuarios finales o donantes según sea necesario; </w:t>
      </w:r>
    </w:p>
    <w:p w14:paraId="0C28A3A8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 xml:space="preserve">(d) Corrección final y aprobación por escrito de todos los documentos del proyecto, incluyendo, a modo de ejemplo, no limitación, ilustraciones, programaciones de mensajes, planes de ubicación de firmas y dibujos de diseño antes de su lanzamiento </w:t>
      </w:r>
      <w:r w:rsidRPr="004B4788">
        <w:rPr>
          <w:rFonts w:ascii="Segoe Pro" w:hAnsi="Segoe Pro"/>
          <w:sz w:val="24"/>
          <w:szCs w:val="24"/>
          <w:lang w:val="es"/>
        </w:rPr>
        <w:lastRenderedPageBreak/>
        <w:t xml:space="preserve">para fabricación o instalación. En el caso de que el Cliente haya aprobado trabajos que contengan errores u omisiones, tales como, a modo de ejemplo, no limitación, errores tipográficos o faltas de ortografía, el Cliente incurrirá en el costo de corregir dichos errores; </w:t>
      </w:r>
    </w:p>
    <w:p w14:paraId="0E1B14AA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 xml:space="preserve">(e) Organizar la documentación, permisos, licencias e implementación de todos los elementos eléctricos, estructurales o mecánicos necesarios para apoyar, la señalización de la casa o de la energía; coordinación de la fabricación e instalación de signos con otros oficios; Y </w:t>
      </w:r>
    </w:p>
    <w:p w14:paraId="3FF46CD0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>(f) Solicitud de oferta y negociación de contratos; abastecimiento, establecimiento de precios finales y términos de contrato directamente con fabricantes o proveedores.</w:t>
      </w:r>
    </w:p>
    <w:p w14:paraId="1EFF441A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>D 3. 3. Ingeniería</w:t>
      </w:r>
    </w:p>
    <w:p w14:paraId="41E4596F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ab/>
        <w:t xml:space="preserve">  Los Servicios incluirán la selección y las especificaciones de los materiales y los detalles de construcción descritos en la Propuesta. Sin embargo, el Cliente reconoce y acepta que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no es un ingeniero o arquitecto con licencia, y que la responsabilidad por la interpretación de los dibujos de diseño y el diseño e ingeniería de todo el trabajo realizado bajo este Acuerdo ("Ingeniería") es responsabilidad exclusiva del Cliente y/o su arquitecto, ingeniero o fabricante.</w:t>
      </w:r>
    </w:p>
    <w:p w14:paraId="7047D5CE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>D 3. 4. Implementación</w:t>
      </w:r>
    </w:p>
    <w:p w14:paraId="0EE241EA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ab/>
        <w:t xml:space="preserve">  El Cliente reconoce y acepta expresamente que las estimaciones proporcionadas en la Propuesta, en cualquier momento durante el proyecto para gastos de implementación tales como, entre otros, la fabricación o la instalación son únicamente para fines de planificación. Dichas estimaciones representan el mejor criterio de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o sus consultores en el momento de la Propuesta, pero no se considerarán una representación o garantía de que las ofertas o costos del proyecto no variarán. El Cliente contratará y pagará a las partes directamente responsables de los servicios de implementación, como la fabricación o la instalación </w:t>
      </w:r>
      <w:r w:rsidRPr="004B4788">
        <w:rPr>
          <w:rFonts w:ascii="Segoe Pro" w:hAnsi="Segoe Pro"/>
          <w:sz w:val="24"/>
          <w:szCs w:val="24"/>
          <w:lang w:val="es"/>
        </w:rPr>
        <w:lastRenderedPageBreak/>
        <w:t xml:space="preserve">("Implementación").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no será responsable de la calidad o puntualidad de los servicios de Implementación de terceros, independientemente de si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asiste o asesora al Cliente en la evaluación, selección o supervisión del proveedor de dichos servicios.</w:t>
      </w:r>
    </w:p>
    <w:p w14:paraId="19076E13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>D 3. 5. Cumplimiento de las leyes</w:t>
      </w:r>
    </w:p>
    <w:p w14:paraId="4D168DFE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ab/>
        <w:t xml:space="preserve">  El Diseñador hará todos los esfuerzos comercialmente razonables para garantizar que todos los Resultados Finales estén diseñados para cumplir con las reglas y regulaciones aplicables, como la Ley de Estadounidenses con Discapacidades ("ADA"). Sin embargo,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no es un experto y no hace declaraciones o garantías en relación con el cumplimiento de dichas reglas, códigos o regulaciones. El cumplimiento de los Productos Finales con dicha regla, códigos o regulaciones será responsabilidad del Cliente.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hará todos los esfuerzos comercialmente razonables para garantizar la idoneidad y conformidad de los Resultados Finales.</w:t>
      </w:r>
    </w:p>
    <w:p w14:paraId="755220DD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>D 3. 6. Seguro de cliente</w:t>
      </w:r>
    </w:p>
    <w:p w14:paraId="6AC3A516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  <w:lang w:val="es"/>
        </w:rPr>
        <w:tab/>
        <w:t>El Cliente mantendrá, durante la vigencia de este Acuerdo, a su exclusivo costo, responsabilidad de construcción y mantenimiento, responsabilidad del producto, responsabilidad comercial general y seguro de lesiones por publicidad de una compañía de seguros reconocida por la cantidad de al menos ___________________</w:t>
      </w:r>
      <w:proofErr w:type="gramStart"/>
      <w:r w:rsidRPr="004B4788">
        <w:rPr>
          <w:rFonts w:ascii="Segoe Pro" w:hAnsi="Segoe Pro"/>
          <w:sz w:val="24"/>
          <w:szCs w:val="24"/>
          <w:lang w:val="es"/>
        </w:rPr>
        <w:t>_</w:t>
      </w:r>
      <w:r w:rsidRPr="004B4788">
        <w:rPr>
          <w:rFonts w:ascii="Segoe Pro" w:hAnsi="Segoe Pro"/>
          <w:lang w:val="es"/>
        </w:rPr>
        <w:t xml:space="preserve"> </w:t>
      </w:r>
      <w:r w:rsidRPr="004B4788">
        <w:rPr>
          <w:rFonts w:ascii="Segoe Pro" w:hAnsi="Segoe Pro"/>
          <w:sz w:val="24"/>
          <w:szCs w:val="24"/>
          <w:lang w:val="es"/>
        </w:rPr>
        <w:t xml:space="preserve"> millones</w:t>
      </w:r>
      <w:proofErr w:type="gramEnd"/>
      <w:r w:rsidRPr="004B4788">
        <w:rPr>
          <w:rFonts w:ascii="Segoe Pro" w:hAnsi="Segoe Pro"/>
          <w:sz w:val="24"/>
          <w:szCs w:val="24"/>
          <w:lang w:val="es"/>
        </w:rPr>
        <w:t xml:space="preserve"> de dólares ($ ,000,000.00) por ocurrencia. Dicho seguro nombrará a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individualmente como un asegurado adicional con nombre. El Cliente deberá proporcionar una copia de dicha póliza de seguro a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 xml:space="preserve"> a petición de </w:t>
      </w:r>
      <w:r>
        <w:rPr>
          <w:rFonts w:ascii="Segoe Pro" w:hAnsi="Segoe Pro"/>
          <w:sz w:val="24"/>
          <w:szCs w:val="24"/>
          <w:lang w:val="es"/>
        </w:rPr>
        <w:t>El Diseñador</w:t>
      </w:r>
      <w:r w:rsidRPr="004B4788">
        <w:rPr>
          <w:rFonts w:ascii="Segoe Pro" w:hAnsi="Segoe Pro"/>
          <w:sz w:val="24"/>
          <w:szCs w:val="24"/>
          <w:lang w:val="es"/>
        </w:rPr>
        <w:t>.</w:t>
      </w:r>
    </w:p>
    <w:p w14:paraId="6EA11EEC" w14:textId="77777777" w:rsidR="00463FA5" w:rsidRPr="004B4788" w:rsidRDefault="00463FA5" w:rsidP="00463FA5">
      <w:pPr>
        <w:ind w:left="0" w:firstLine="0"/>
        <w:jc w:val="both"/>
        <w:rPr>
          <w:rFonts w:ascii="Segoe Pro" w:hAnsi="Segoe Pro"/>
          <w:sz w:val="24"/>
          <w:szCs w:val="24"/>
        </w:rPr>
      </w:pPr>
      <w:r w:rsidRPr="004B4788">
        <w:rPr>
          <w:rFonts w:ascii="Segoe Pro" w:hAnsi="Segoe Pro"/>
          <w:sz w:val="24"/>
          <w:szCs w:val="24"/>
        </w:rPr>
        <w:br w:type="page"/>
      </w:r>
    </w:p>
    <w:p w14:paraId="5B53D23A" w14:textId="36A40072" w:rsidR="002F75B5" w:rsidRPr="00463FA5" w:rsidRDefault="002F75B5" w:rsidP="00463FA5"/>
    <w:sectPr w:rsidR="002F75B5" w:rsidRPr="00463FA5" w:rsidSect="002F75B5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17" w:right="1701" w:bottom="1417" w:left="1701" w:header="720" w:footer="8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44F2C" w14:textId="77777777" w:rsidR="00D2640A" w:rsidRDefault="00D2640A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6EEB1068" w14:textId="77777777" w:rsidR="00D2640A" w:rsidRDefault="00D2640A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6E371" w14:textId="77777777" w:rsidR="00EC11D9" w:rsidRDefault="00E134F7">
    <w:pPr>
      <w:spacing w:after="0" w:line="259" w:lineRule="auto"/>
      <w:ind w:left="-360" w:right="0" w:firstLine="0"/>
    </w:pPr>
    <w:r>
      <w:rPr>
        <w:lang w:val="es"/>
      </w:rPr>
      <w:fldChar w:fldCharType="begin"/>
    </w:r>
    <w:r>
      <w:rPr>
        <w:lang w:val="es"/>
      </w:rPr>
      <w:instrText xml:space="preserve"> PAGE   \* MERGEFORMAT </w:instrText>
    </w:r>
    <w:r>
      <w:rPr>
        <w:lang w:val="es"/>
      </w:rPr>
      <w:fldChar w:fldCharType="separate"/>
    </w:r>
    <w:r>
      <w:rPr>
        <w:sz w:val="14"/>
        <w:lang w:val="es"/>
      </w:rPr>
      <w:t>2</w:t>
    </w:r>
    <w:r>
      <w:rPr>
        <w:sz w:val="14"/>
        <w:lang w:val="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CCDF9" w14:textId="77777777" w:rsidR="00EC11D9" w:rsidRDefault="00E134F7">
    <w:pPr>
      <w:spacing w:after="0" w:line="259" w:lineRule="auto"/>
      <w:ind w:left="-360" w:right="0" w:firstLine="0"/>
    </w:pPr>
    <w:r>
      <w:rPr>
        <w:lang w:val="es"/>
      </w:rPr>
      <w:fldChar w:fldCharType="begin"/>
    </w:r>
    <w:r>
      <w:rPr>
        <w:lang w:val="es"/>
      </w:rPr>
      <w:instrText xml:space="preserve"> PAGE   \* MERGEFORMAT </w:instrText>
    </w:r>
    <w:r>
      <w:rPr>
        <w:lang w:val="es"/>
      </w:rPr>
      <w:fldChar w:fldCharType="separate"/>
    </w:r>
    <w:r>
      <w:rPr>
        <w:sz w:val="14"/>
        <w:lang w:val="es"/>
      </w:rPr>
      <w:t>2</w:t>
    </w:r>
    <w:r>
      <w:rPr>
        <w:sz w:val="14"/>
        <w:lang w:val="e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37896" w14:textId="77777777" w:rsidR="00EC11D9" w:rsidRDefault="00E134F7">
    <w:pPr>
      <w:spacing w:after="0" w:line="259" w:lineRule="auto"/>
      <w:ind w:left="-360" w:right="0" w:firstLine="0"/>
    </w:pPr>
    <w:r>
      <w:rPr>
        <w:lang w:val="es"/>
      </w:rPr>
      <w:fldChar w:fldCharType="begin"/>
    </w:r>
    <w:r>
      <w:rPr>
        <w:lang w:val="es"/>
      </w:rPr>
      <w:instrText xml:space="preserve"> PAGE   \* MERGEFORMAT </w:instrText>
    </w:r>
    <w:r>
      <w:rPr>
        <w:lang w:val="es"/>
      </w:rPr>
      <w:fldChar w:fldCharType="separate"/>
    </w:r>
    <w:r>
      <w:rPr>
        <w:sz w:val="14"/>
        <w:lang w:val="es"/>
      </w:rPr>
      <w:t>2</w:t>
    </w:r>
    <w:r>
      <w:rPr>
        <w:sz w:val="14"/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AADBF" w14:textId="77777777" w:rsidR="00D2640A" w:rsidRDefault="00D2640A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2CB3B02E" w14:textId="77777777" w:rsidR="00D2640A" w:rsidRDefault="00D2640A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F5AD0" w14:textId="3CA7139E" w:rsidR="002C6640" w:rsidRDefault="002C6640" w:rsidP="002C6640">
    <w:pPr>
      <w:pStyle w:val="Header"/>
      <w:tabs>
        <w:tab w:val="clear" w:pos="4419"/>
        <w:tab w:val="clear" w:pos="8838"/>
        <w:tab w:val="left" w:pos="7020"/>
      </w:tabs>
    </w:pPr>
    <w:r>
      <w:rPr>
        <w:noProof/>
        <w:lang w:val="es"/>
      </w:rPr>
      <w:drawing>
        <wp:anchor distT="0" distB="0" distL="114300" distR="114300" simplePos="0" relativeHeight="251660288" behindDoc="1" locked="0" layoutInCell="1" allowOverlap="1" wp14:anchorId="4A9F527E" wp14:editId="214720C8">
          <wp:simplePos x="0" y="0"/>
          <wp:positionH relativeFrom="column">
            <wp:posOffset>4010025</wp:posOffset>
          </wp:positionH>
          <wp:positionV relativeFrom="paragraph">
            <wp:posOffset>-85725</wp:posOffset>
          </wp:positionV>
          <wp:extent cx="1563529" cy="266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529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C516C" w14:textId="26BB5EFC" w:rsidR="00721AC6" w:rsidRDefault="00721AC6">
    <w:pPr>
      <w:pStyle w:val="Header"/>
    </w:pPr>
    <w:r>
      <w:rPr>
        <w:noProof/>
        <w:lang w:val="es"/>
      </w:rPr>
      <w:drawing>
        <wp:anchor distT="0" distB="0" distL="114300" distR="114300" simplePos="0" relativeHeight="251658240" behindDoc="1" locked="0" layoutInCell="1" allowOverlap="1" wp14:anchorId="7D37AEDA" wp14:editId="4FD03B38">
          <wp:simplePos x="0" y="0"/>
          <wp:positionH relativeFrom="column">
            <wp:posOffset>4044315</wp:posOffset>
          </wp:positionH>
          <wp:positionV relativeFrom="paragraph">
            <wp:posOffset>-104775</wp:posOffset>
          </wp:positionV>
          <wp:extent cx="1563529" cy="266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529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379"/>
    <w:multiLevelType w:val="hybridMultilevel"/>
    <w:tmpl w:val="5B9E3802"/>
    <w:lvl w:ilvl="0" w:tplc="08DE9DF4">
      <w:start w:val="1"/>
      <w:numFmt w:val="lowerLetter"/>
      <w:lvlText w:val="(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18F4C4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E6CC62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04F1D8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B8C316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DE60C6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0A328A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A23BF6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409B0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AF2EB4"/>
    <w:multiLevelType w:val="hybridMultilevel"/>
    <w:tmpl w:val="3EA22B02"/>
    <w:lvl w:ilvl="0" w:tplc="E28EF5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F47FD"/>
    <w:multiLevelType w:val="hybridMultilevel"/>
    <w:tmpl w:val="F3243206"/>
    <w:lvl w:ilvl="0" w:tplc="941C9130">
      <w:start w:val="1"/>
      <w:numFmt w:val="lowerLetter"/>
      <w:lvlText w:val="(%1)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84C3C4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AE578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406776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184B62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AE3442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1E6B90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FE76BE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62B074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6E705B"/>
    <w:multiLevelType w:val="hybridMultilevel"/>
    <w:tmpl w:val="44E2E6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6C87"/>
    <w:multiLevelType w:val="hybridMultilevel"/>
    <w:tmpl w:val="9F447CAE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35456"/>
    <w:multiLevelType w:val="hybridMultilevel"/>
    <w:tmpl w:val="5CD6E480"/>
    <w:lvl w:ilvl="0" w:tplc="A5EE208C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1A40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E894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142D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28B2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A0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864B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526A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FC08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A6193E"/>
    <w:multiLevelType w:val="multilevel"/>
    <w:tmpl w:val="2F44C788"/>
    <w:lvl w:ilvl="0">
      <w:start w:val="1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370B35"/>
    <w:multiLevelType w:val="hybridMultilevel"/>
    <w:tmpl w:val="5784F4A0"/>
    <w:lvl w:ilvl="0" w:tplc="294A5CCE">
      <w:start w:val="1"/>
      <w:numFmt w:val="lowerLetter"/>
      <w:lvlText w:val="(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6F262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0EA62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84CDD0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EAFBEE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02DC8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86AEE2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F0D7CA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4C27EC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684157"/>
    <w:multiLevelType w:val="hybridMultilevel"/>
    <w:tmpl w:val="CC268664"/>
    <w:lvl w:ilvl="0" w:tplc="0E52BCC2">
      <w:start w:val="1"/>
      <w:numFmt w:val="lowerLetter"/>
      <w:lvlText w:val="(%1)"/>
      <w:lvlJc w:val="left"/>
      <w:pPr>
        <w:ind w:left="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706874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C45A7A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129CC6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A027C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0CB612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A63A5C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96AAFC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4421D4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805BDC"/>
    <w:multiLevelType w:val="hybridMultilevel"/>
    <w:tmpl w:val="86C0DEA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006C3E"/>
    <w:multiLevelType w:val="hybridMultilevel"/>
    <w:tmpl w:val="7DC0D596"/>
    <w:lvl w:ilvl="0" w:tplc="28A6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9460B"/>
    <w:multiLevelType w:val="hybridMultilevel"/>
    <w:tmpl w:val="8F181F32"/>
    <w:lvl w:ilvl="0" w:tplc="3FBC8968">
      <w:start w:val="1"/>
      <w:numFmt w:val="lowerLetter"/>
      <w:lvlText w:val="(%1)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4607E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7200B8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DFE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2693DC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8E0826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4AB10E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223EA0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0E60F6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724C0F"/>
    <w:multiLevelType w:val="hybridMultilevel"/>
    <w:tmpl w:val="4990A7E6"/>
    <w:lvl w:ilvl="0" w:tplc="2ADC98B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045DB7"/>
    <w:multiLevelType w:val="hybridMultilevel"/>
    <w:tmpl w:val="FEF2478C"/>
    <w:lvl w:ilvl="0" w:tplc="1AE64DB8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7C5C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5A87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485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CA58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DC7D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C62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D641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36C3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105C34"/>
    <w:multiLevelType w:val="hybridMultilevel"/>
    <w:tmpl w:val="DBD4DFE2"/>
    <w:lvl w:ilvl="0" w:tplc="7D4EBFD2">
      <w:start w:val="1"/>
      <w:numFmt w:val="lowerLetter"/>
      <w:lvlText w:val="(%1)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1C43D2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DA68BA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1C9C6A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E20A98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D44C12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8AD86C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63A94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5A21BC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F714E6"/>
    <w:multiLevelType w:val="hybridMultilevel"/>
    <w:tmpl w:val="EA86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756C7"/>
    <w:multiLevelType w:val="hybridMultilevel"/>
    <w:tmpl w:val="B7B2AC9E"/>
    <w:lvl w:ilvl="0" w:tplc="F176D6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356129"/>
    <w:multiLevelType w:val="hybridMultilevel"/>
    <w:tmpl w:val="5956D23A"/>
    <w:lvl w:ilvl="0" w:tplc="9B1E7768">
      <w:start w:val="1"/>
      <w:numFmt w:val="lowerLetter"/>
      <w:lvlText w:val="(%1)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C9A14">
      <w:start w:val="1"/>
      <w:numFmt w:val="lowerLetter"/>
      <w:lvlText w:val="%2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54BABA">
      <w:start w:val="1"/>
      <w:numFmt w:val="lowerRoman"/>
      <w:lvlText w:val="%3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DA373C">
      <w:start w:val="1"/>
      <w:numFmt w:val="decimal"/>
      <w:lvlText w:val="%4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267AA6">
      <w:start w:val="1"/>
      <w:numFmt w:val="lowerLetter"/>
      <w:lvlText w:val="%5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34D566">
      <w:start w:val="1"/>
      <w:numFmt w:val="lowerRoman"/>
      <w:lvlText w:val="%6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265608">
      <w:start w:val="1"/>
      <w:numFmt w:val="decimal"/>
      <w:lvlText w:val="%7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44B440">
      <w:start w:val="1"/>
      <w:numFmt w:val="lowerLetter"/>
      <w:lvlText w:val="%8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029B6">
      <w:start w:val="1"/>
      <w:numFmt w:val="lowerRoman"/>
      <w:lvlText w:val="%9"/>
      <w:lvlJc w:val="left"/>
      <w:pPr>
        <w:ind w:left="6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9252D6"/>
    <w:multiLevelType w:val="hybridMultilevel"/>
    <w:tmpl w:val="20388B48"/>
    <w:lvl w:ilvl="0" w:tplc="AEB8626A">
      <w:start w:val="1"/>
      <w:numFmt w:val="decimal"/>
      <w:lvlText w:val="%1."/>
      <w:lvlJc w:val="left"/>
      <w:pPr>
        <w:ind w:left="257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8966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2F0D5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D72B8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7BAC9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434F4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63471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DBC66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3A691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1"/>
  </w:num>
  <w:num w:numId="7">
    <w:abstractNumId w:val="2"/>
  </w:num>
  <w:num w:numId="8">
    <w:abstractNumId w:val="17"/>
  </w:num>
  <w:num w:numId="9">
    <w:abstractNumId w:val="14"/>
  </w:num>
  <w:num w:numId="10">
    <w:abstractNumId w:val="13"/>
  </w:num>
  <w:num w:numId="11">
    <w:abstractNumId w:val="5"/>
  </w:num>
  <w:num w:numId="12">
    <w:abstractNumId w:val="10"/>
  </w:num>
  <w:num w:numId="13">
    <w:abstractNumId w:val="15"/>
  </w:num>
  <w:num w:numId="14">
    <w:abstractNumId w:val="3"/>
  </w:num>
  <w:num w:numId="15">
    <w:abstractNumId w:val="16"/>
  </w:num>
  <w:num w:numId="16">
    <w:abstractNumId w:val="4"/>
  </w:num>
  <w:num w:numId="17">
    <w:abstractNumId w:val="12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NrW0tDS2tDC0sDBQ0lEKTi0uzszPAykwqQUA1sPk0ywAAAA="/>
  </w:docVars>
  <w:rsids>
    <w:rsidRoot w:val="00EC11D9"/>
    <w:rsid w:val="00032072"/>
    <w:rsid w:val="00221EEC"/>
    <w:rsid w:val="00257BEB"/>
    <w:rsid w:val="002807AB"/>
    <w:rsid w:val="002C6640"/>
    <w:rsid w:val="002F75B5"/>
    <w:rsid w:val="00340B3D"/>
    <w:rsid w:val="003C2074"/>
    <w:rsid w:val="003E015E"/>
    <w:rsid w:val="004229C4"/>
    <w:rsid w:val="00463FA5"/>
    <w:rsid w:val="004B4788"/>
    <w:rsid w:val="00630961"/>
    <w:rsid w:val="00721AC6"/>
    <w:rsid w:val="007904BA"/>
    <w:rsid w:val="00983834"/>
    <w:rsid w:val="009B1B60"/>
    <w:rsid w:val="00B84CE8"/>
    <w:rsid w:val="00C81B6E"/>
    <w:rsid w:val="00D2640A"/>
    <w:rsid w:val="00E134F7"/>
    <w:rsid w:val="00E61EE8"/>
    <w:rsid w:val="00EA15B4"/>
    <w:rsid w:val="00EC11D9"/>
    <w:rsid w:val="00EE2190"/>
    <w:rsid w:val="00FE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4EEA"/>
  <w15:docId w15:val="{AACBA3B6-68C1-43E3-B6A0-FAAAE9C9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74"/>
    <w:pPr>
      <w:spacing w:after="303" w:line="312" w:lineRule="auto"/>
      <w:ind w:left="2557" w:right="31" w:hanging="2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82" w:hanging="10"/>
      <w:outlineLvl w:val="0"/>
    </w:pPr>
    <w:rPr>
      <w:rFonts w:ascii="Calibri" w:eastAsia="Calibri" w:hAnsi="Calibri" w:cs="Calibri"/>
      <w:b/>
      <w:color w:val="181717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82" w:hanging="10"/>
      <w:outlineLvl w:val="1"/>
    </w:pPr>
    <w:rPr>
      <w:rFonts w:ascii="Calibri" w:eastAsia="Calibri" w:hAnsi="Calibri" w:cs="Calibri"/>
      <w:b/>
      <w:color w:val="181717"/>
      <w:sz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074"/>
    <w:pPr>
      <w:keepNext/>
      <w:ind w:left="0" w:firstLine="0"/>
      <w:jc w:val="both"/>
      <w:outlineLvl w:val="2"/>
    </w:pPr>
    <w:rPr>
      <w:rFonts w:ascii="Segoe Pro" w:hAnsi="Segoe Pro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072"/>
    <w:pPr>
      <w:keepNext/>
      <w:ind w:left="0" w:firstLine="0"/>
      <w:jc w:val="both"/>
      <w:outlineLvl w:val="3"/>
    </w:pPr>
    <w:rPr>
      <w:rFonts w:ascii="Segoe Pro" w:hAnsi="Segoe Pro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2072"/>
    <w:pPr>
      <w:keepNext/>
      <w:ind w:left="12"/>
      <w:outlineLvl w:val="4"/>
    </w:pPr>
    <w:rPr>
      <w:rFonts w:ascii="Segoe Pro" w:hAnsi="Segoe Pro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181717"/>
      <w:sz w:val="2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81717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B5"/>
    <w:rPr>
      <w:rFonts w:ascii="Times New Roman" w:eastAsia="Times New Roman" w:hAnsi="Times New Roman" w:cs="Times New Roman"/>
      <w:color w:val="181717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2F75B5"/>
    <w:pPr>
      <w:ind w:left="0" w:firstLine="0"/>
      <w:jc w:val="both"/>
    </w:pPr>
    <w:rPr>
      <w:rFonts w:ascii="Segoe Pro" w:hAnsi="Segoe Pr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F75B5"/>
    <w:rPr>
      <w:rFonts w:ascii="Segoe Pro" w:eastAsia="Times New Roman" w:hAnsi="Segoe Pro" w:cs="Times New Roman"/>
      <w:color w:val="181717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074"/>
    <w:pPr>
      <w:ind w:left="720"/>
      <w:contextualSpacing/>
    </w:pPr>
  </w:style>
  <w:style w:type="table" w:styleId="TableGrid0">
    <w:name w:val="Table Grid"/>
    <w:basedOn w:val="TableNormal"/>
    <w:uiPriority w:val="39"/>
    <w:rsid w:val="003C2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2074"/>
    <w:rPr>
      <w:rFonts w:ascii="Segoe Pro" w:eastAsia="Times New Roman" w:hAnsi="Segoe Pro" w:cs="Times New Roman"/>
      <w:b/>
      <w:bCs/>
      <w:color w:val="1817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2072"/>
    <w:rPr>
      <w:rFonts w:ascii="Segoe Pro" w:eastAsia="Times New Roman" w:hAnsi="Segoe Pro" w:cs="Times New Roman"/>
      <w:color w:val="181717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32072"/>
    <w:rPr>
      <w:rFonts w:ascii="Segoe Pro" w:eastAsia="Times New Roman" w:hAnsi="Segoe Pro" w:cs="Times New Roman"/>
      <w:color w:val="181717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4B4788"/>
    <w:rPr>
      <w:color w:val="808080"/>
    </w:rPr>
  </w:style>
  <w:style w:type="paragraph" w:styleId="BlockText">
    <w:name w:val="Block Text"/>
    <w:basedOn w:val="Normal"/>
    <w:uiPriority w:val="99"/>
    <w:unhideWhenUsed/>
    <w:rsid w:val="00E61EE8"/>
    <w:pPr>
      <w:ind w:left="1440" w:firstLine="0"/>
    </w:pPr>
    <w:rPr>
      <w:rFonts w:ascii="Segoe Pro" w:hAnsi="Segoe Pro"/>
      <w:sz w:val="24"/>
      <w:szCs w:val="24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D28657-6E3B-4168-8A51-C47FFDA9915F}"/>
</file>

<file path=customXml/itemProps2.xml><?xml version="1.0" encoding="utf-8"?>
<ds:datastoreItem xmlns:ds="http://schemas.openxmlformats.org/officeDocument/2006/customXml" ds:itemID="{1F644161-0EC7-449C-BD5C-E7E4DDDCA7E9}"/>
</file>

<file path=customXml/itemProps3.xml><?xml version="1.0" encoding="utf-8"?>
<ds:datastoreItem xmlns:ds="http://schemas.openxmlformats.org/officeDocument/2006/customXml" ds:itemID="{C8A59638-19AB-44B4-9390-6DF249683C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753</Words>
  <Characters>4247</Characters>
  <Application>Microsoft Office Word</Application>
  <DocSecurity>0</DocSecurity>
  <Lines>71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 Navas</dc:creator>
  <cp:keywords/>
  <cp:lastModifiedBy>Daniel Lozano Navas</cp:lastModifiedBy>
  <cp:revision>8</cp:revision>
  <dcterms:created xsi:type="dcterms:W3CDTF">2020-10-07T09:46:00Z</dcterms:created>
  <dcterms:modified xsi:type="dcterms:W3CDTF">2020-10-08T12:34:00Z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