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2ABF0" w14:textId="77777777" w:rsidR="00571840" w:rsidRDefault="00B927C3">
      <w:pPr>
        <w:tabs>
          <w:tab w:val="center" w:pos="4681"/>
          <w:tab w:val="center" w:pos="5091"/>
          <w:tab w:val="center" w:pos="7268"/>
        </w:tabs>
        <w:ind w:left="0" w:firstLine="0"/>
        <w:jc w:val="left"/>
      </w:pPr>
      <w:r>
        <w:t xml:space="preserve"> </w:t>
      </w:r>
      <w:r>
        <w:tab/>
        <w:t xml:space="preserve"> </w:t>
      </w:r>
      <w:r>
        <w:tab/>
        <w:t xml:space="preserve"> </w:t>
      </w:r>
      <w:r>
        <w:tab/>
        <w:t xml:space="preserve">Effective Date: December 31, 2019 </w:t>
      </w:r>
    </w:p>
    <w:p w14:paraId="00E0091A" w14:textId="2F0F792F" w:rsidR="00571840" w:rsidRPr="00594E00" w:rsidRDefault="0093493D" w:rsidP="00594E00">
      <w:pPr>
        <w:spacing w:after="109"/>
        <w:ind w:left="0" w:firstLine="0"/>
        <w:jc w:val="left"/>
        <w:rPr>
          <w:b/>
          <w:bCs/>
        </w:rPr>
      </w:pPr>
      <w:r w:rsidRPr="00594E00">
        <w:rPr>
          <w:b/>
          <w:bCs/>
        </w:rPr>
        <w:t>Alliance Trusted Advisor</w:t>
      </w:r>
      <w:r w:rsidR="00B927C3" w:rsidRPr="00594E00">
        <w:rPr>
          <w:b/>
          <w:bCs/>
        </w:rPr>
        <w:t xml:space="preserve"> Network Agreement</w:t>
      </w:r>
    </w:p>
    <w:p w14:paraId="2DC9E3FE" w14:textId="77777777" w:rsidR="00571840" w:rsidRDefault="00B927C3">
      <w:pPr>
        <w:spacing w:after="272"/>
        <w:ind w:left="0" w:firstLine="0"/>
      </w:pPr>
      <w:r>
        <w:t xml:space="preserve">This </w:t>
      </w:r>
      <w:r w:rsidR="0093493D">
        <w:t xml:space="preserve">Alliance Trusted Advisor </w:t>
      </w:r>
      <w:r>
        <w:t>Network Agreement (the “</w:t>
      </w:r>
      <w:r>
        <w:rPr>
          <w:b/>
        </w:rPr>
        <w:t>Agreement</w:t>
      </w:r>
      <w:r>
        <w:t xml:space="preserve">”) is entered into by and between the </w:t>
      </w:r>
      <w:r w:rsidR="0093493D">
        <w:t>Fenix Alliance</w:t>
      </w:r>
      <w:r>
        <w:t xml:space="preserve"> entity set forth in Section 11 (“</w:t>
      </w:r>
      <w:r w:rsidR="0093493D">
        <w:rPr>
          <w:b/>
        </w:rPr>
        <w:t>Fenix Alliance</w:t>
      </w:r>
      <w:r>
        <w:t>”, “</w:t>
      </w:r>
      <w:r>
        <w:rPr>
          <w:b/>
        </w:rPr>
        <w:t>we</w:t>
      </w:r>
      <w:r>
        <w:t>”, “</w:t>
      </w:r>
      <w:r>
        <w:rPr>
          <w:b/>
        </w:rPr>
        <w:t>us</w:t>
      </w:r>
      <w:r>
        <w:t>”) and the company you represent (“</w:t>
      </w:r>
      <w:r>
        <w:rPr>
          <w:b/>
        </w:rPr>
        <w:t>Company</w:t>
      </w:r>
      <w:r>
        <w:t>”, “</w:t>
      </w:r>
      <w:r>
        <w:rPr>
          <w:b/>
        </w:rPr>
        <w:t>you</w:t>
      </w:r>
      <w:r>
        <w:t>”, “</w:t>
      </w:r>
      <w:r>
        <w:rPr>
          <w:b/>
        </w:rPr>
        <w:t>your</w:t>
      </w:r>
      <w:r>
        <w:t xml:space="preserve">”) regarding you and your Company’s use of the </w:t>
      </w:r>
      <w:r w:rsidR="0093493D">
        <w:t>Fenix Alliance</w:t>
      </w:r>
      <w:r>
        <w:t xml:space="preserve"> </w:t>
      </w:r>
      <w:r w:rsidR="0093493D">
        <w:t>Trusted Advisor Network</w:t>
      </w:r>
      <w:r>
        <w:t xml:space="preserve"> and related websites through which </w:t>
      </w:r>
      <w:r w:rsidR="0093493D">
        <w:t>Fenix Alliance</w:t>
      </w:r>
      <w:r>
        <w:t xml:space="preserve"> may provide you with access to tools, documents, and communications related to a </w:t>
      </w:r>
      <w:r w:rsidR="0093493D">
        <w:t>ATA</w:t>
      </w:r>
      <w:r>
        <w:t xml:space="preserve"> Program (“</w:t>
      </w:r>
      <w:r>
        <w:rPr>
          <w:b/>
        </w:rPr>
        <w:t xml:space="preserve">Partner </w:t>
      </w:r>
      <w:r w:rsidR="0093493D">
        <w:rPr>
          <w:b/>
        </w:rPr>
        <w:t>Portal</w:t>
      </w:r>
      <w:r>
        <w:t xml:space="preserve">”). You represent that you have the legal authority to enter into this Agreement on your Company’s behalf. </w:t>
      </w:r>
    </w:p>
    <w:p w14:paraId="353C4DEF" w14:textId="77777777" w:rsidR="00571840" w:rsidRDefault="00B927C3">
      <w:pPr>
        <w:pStyle w:val="Heading2"/>
        <w:ind w:left="9"/>
      </w:pPr>
      <w:r>
        <w:rPr>
          <w:noProof/>
        </w:rPr>
        <w:drawing>
          <wp:inline distT="0" distB="0" distL="0" distR="0" wp14:anchorId="7566BD9F" wp14:editId="01858489">
            <wp:extent cx="95250" cy="99822"/>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0"/>
                    <a:stretch>
                      <a:fillRect/>
                    </a:stretch>
                  </pic:blipFill>
                  <pic:spPr>
                    <a:xfrm>
                      <a:off x="0" y="0"/>
                      <a:ext cx="95250" cy="99822"/>
                    </a:xfrm>
                    <a:prstGeom prst="rect">
                      <a:avLst/>
                    </a:prstGeom>
                  </pic:spPr>
                </pic:pic>
              </a:graphicData>
            </a:graphic>
          </wp:inline>
        </w:drawing>
      </w:r>
      <w:r>
        <w:rPr>
          <w:rFonts w:ascii="Arial" w:eastAsia="Arial" w:hAnsi="Arial" w:cs="Arial"/>
        </w:rPr>
        <w:t xml:space="preserve"> </w:t>
      </w:r>
      <w:r>
        <w:t xml:space="preserve">General </w:t>
      </w:r>
      <w:bookmarkStart w:id="0" w:name="_GoBack"/>
      <w:bookmarkEnd w:id="0"/>
    </w:p>
    <w:p w14:paraId="658693D0" w14:textId="3A774B21" w:rsidR="00571840" w:rsidRDefault="00B927C3">
      <w:pPr>
        <w:numPr>
          <w:ilvl w:val="0"/>
          <w:numId w:val="1"/>
        </w:numPr>
        <w:spacing w:after="235"/>
        <w:ind w:hanging="360"/>
      </w:pPr>
      <w:r>
        <w:t xml:space="preserve">The </w:t>
      </w:r>
      <w:r w:rsidR="0093493D">
        <w:t>Fenix Alliance</w:t>
      </w:r>
      <w:r>
        <w:t xml:space="preserve"> </w:t>
      </w:r>
      <w:r w:rsidR="0093493D">
        <w:t>Trusted Advisor Network</w:t>
      </w:r>
      <w:r>
        <w:t xml:space="preserve"> (the “</w:t>
      </w:r>
      <w:r w:rsidR="000F4237">
        <w:rPr>
          <w:b/>
        </w:rPr>
        <w:t>ATA Partner Network</w:t>
      </w:r>
      <w:r>
        <w:t xml:space="preserve">”) gives you access to (1) </w:t>
      </w:r>
      <w:r w:rsidR="0093493D">
        <w:t>Fenix Alliance</w:t>
      </w:r>
      <w:r>
        <w:t xml:space="preserve"> content, information, sales tools, documentation, branding materials such as logos, and resources (the “</w:t>
      </w:r>
      <w:r w:rsidR="0093493D">
        <w:rPr>
          <w:b/>
        </w:rPr>
        <w:t>Fenix Alliance</w:t>
      </w:r>
      <w:r>
        <w:rPr>
          <w:b/>
        </w:rPr>
        <w:t xml:space="preserve"> Materials</w:t>
      </w:r>
      <w:r>
        <w:t xml:space="preserve">”); (2) </w:t>
      </w:r>
      <w:r w:rsidR="0093493D">
        <w:t>Fenix Alliance</w:t>
      </w:r>
      <w:r>
        <w:t xml:space="preserve"> offers, incentives, campaigns, funds, and programs ("</w:t>
      </w:r>
      <w:r>
        <w:rPr>
          <w:b/>
        </w:rPr>
        <w:t>Offers</w:t>
      </w:r>
      <w:r>
        <w:t>" or “</w:t>
      </w:r>
      <w:r>
        <w:rPr>
          <w:b/>
        </w:rPr>
        <w:t>Programs</w:t>
      </w:r>
      <w:r>
        <w:t xml:space="preserve">”); and (3) </w:t>
      </w:r>
      <w:r w:rsidR="0093493D">
        <w:t>Fenix Alliance</w:t>
      </w:r>
      <w:r>
        <w:t xml:space="preserve"> software, services, products, and technologies (the “</w:t>
      </w:r>
      <w:r w:rsidR="0093493D">
        <w:rPr>
          <w:b/>
        </w:rPr>
        <w:t>Fenix Alliance</w:t>
      </w:r>
      <w:r>
        <w:rPr>
          <w:b/>
        </w:rPr>
        <w:t xml:space="preserve"> Products</w:t>
      </w:r>
      <w:r>
        <w:t xml:space="preserve">”), to </w:t>
      </w:r>
      <w:r w:rsidR="0093493D">
        <w:t>reach beyond expectations by delivering next generation</w:t>
      </w:r>
      <w:r>
        <w:t xml:space="preserve"> </w:t>
      </w:r>
      <w:r w:rsidR="00454591">
        <w:t xml:space="preserve">digital </w:t>
      </w:r>
      <w:r>
        <w:t xml:space="preserve">solutions to your customers.  </w:t>
      </w:r>
    </w:p>
    <w:p w14:paraId="76E18DC7" w14:textId="77777777" w:rsidR="00571840" w:rsidRDefault="0093493D">
      <w:pPr>
        <w:numPr>
          <w:ilvl w:val="0"/>
          <w:numId w:val="1"/>
        </w:numPr>
        <w:spacing w:after="235"/>
        <w:ind w:hanging="360"/>
      </w:pPr>
      <w:r>
        <w:t>Fenix Alliance</w:t>
      </w:r>
      <w:r w:rsidR="00B927C3">
        <w:t xml:space="preserve"> will administer the </w:t>
      </w:r>
      <w:r w:rsidR="000F4237">
        <w:t>ATA Partner Network</w:t>
      </w:r>
      <w:r w:rsidR="00B927C3">
        <w:t xml:space="preserve"> and its benefits through the Partner Portal and </w:t>
      </w:r>
      <w:r>
        <w:t>ATA</w:t>
      </w:r>
      <w:r w:rsidR="00B927C3">
        <w:t xml:space="preserve"> communications. You give us permission to communicate with you to: (1) administer the </w:t>
      </w:r>
      <w:r>
        <w:t>ATA</w:t>
      </w:r>
      <w:r w:rsidR="00B927C3">
        <w:t xml:space="preserve">; (2) give you information about the </w:t>
      </w:r>
      <w:r>
        <w:t>ATA</w:t>
      </w:r>
      <w:r w:rsidR="00B927C3">
        <w:t xml:space="preserve">, including but not limited to, sending promotional information and information about events and training opportunities; (3) invite you to participate in surveys and research; (4) give you </w:t>
      </w:r>
      <w:r>
        <w:t>Fenix Alliance</w:t>
      </w:r>
      <w:r w:rsidR="00B927C3">
        <w:t xml:space="preserve"> Materials to help deliver solutions based on </w:t>
      </w:r>
      <w:r>
        <w:t>Fenix Alliance</w:t>
      </w:r>
      <w:r w:rsidR="00B927C3">
        <w:t xml:space="preserve"> Products; and (5) contact you at the business number you have provided with information about the </w:t>
      </w:r>
      <w:r w:rsidR="000F4237">
        <w:t>ATA Partner Network</w:t>
      </w:r>
      <w:r w:rsidR="00B927C3">
        <w:t xml:space="preserve">. </w:t>
      </w:r>
    </w:p>
    <w:p w14:paraId="46091383" w14:textId="77777777" w:rsidR="00571840" w:rsidRDefault="00B927C3">
      <w:pPr>
        <w:numPr>
          <w:ilvl w:val="0"/>
          <w:numId w:val="1"/>
        </w:numPr>
        <w:spacing w:after="235"/>
        <w:ind w:hanging="360"/>
      </w:pPr>
      <w:r>
        <w:t>The Partner Portal may contain features that allow you to post, submit, or publish information about your Company (“</w:t>
      </w:r>
      <w:r>
        <w:rPr>
          <w:b/>
        </w:rPr>
        <w:t>Profile</w:t>
      </w:r>
      <w:r>
        <w:t xml:space="preserve">”). You agree that any information you provide in your Profile will be truthful and accurate. By providing your Profile, you grant us the right to use, reproduce, display, distribute and otherwise disclose your Profile to third parties for purposes relating to the </w:t>
      </w:r>
      <w:r w:rsidR="000F4237">
        <w:t>ATA Partner Network</w:t>
      </w:r>
      <w:r>
        <w:t xml:space="preserve">. We may (1) remove your Profile if we deem it necessary or appropriate; and (2) disclose your Profile information to law enforcement pursuant to lawful process. </w:t>
      </w:r>
    </w:p>
    <w:p w14:paraId="653E6B1E" w14:textId="77777777" w:rsidR="00571840" w:rsidRDefault="00B927C3">
      <w:pPr>
        <w:numPr>
          <w:ilvl w:val="0"/>
          <w:numId w:val="1"/>
        </w:numPr>
        <w:spacing w:after="236"/>
        <w:ind w:hanging="360"/>
      </w:pPr>
      <w:r>
        <w:t xml:space="preserve">This Agreement applies to your </w:t>
      </w:r>
      <w:r w:rsidR="000F4237">
        <w:t>ATA Partner Network</w:t>
      </w:r>
      <w:r>
        <w:t xml:space="preserve"> membership, including any benefits or incentives extended to you through an </w:t>
      </w:r>
      <w:r w:rsidR="000F4237">
        <w:t>ATA Partner Network</w:t>
      </w:r>
      <w:r>
        <w:t xml:space="preserve"> Program. This Agreement does not by itself authorize you to distribute, resell, or use </w:t>
      </w:r>
      <w:r w:rsidR="0093493D">
        <w:t>Fenix Alliance</w:t>
      </w:r>
      <w:r>
        <w:t xml:space="preserve"> Products. We may provide you with additional terms to participate in Programs, access </w:t>
      </w:r>
      <w:r w:rsidR="0093493D">
        <w:t>Fenix Alliance</w:t>
      </w:r>
      <w:r>
        <w:t xml:space="preserve"> technologies, or use </w:t>
      </w:r>
      <w:r w:rsidR="0093493D">
        <w:t>Fenix Alliance</w:t>
      </w:r>
      <w:r>
        <w:t xml:space="preserve"> Products (“</w:t>
      </w:r>
      <w:r>
        <w:rPr>
          <w:b/>
        </w:rPr>
        <w:t>Additional Terms</w:t>
      </w:r>
      <w:r>
        <w:t>”). We may also make usage or program guides available on the Partner Portal (“</w:t>
      </w:r>
      <w:r>
        <w:rPr>
          <w:b/>
        </w:rPr>
        <w:t>Guides</w:t>
      </w:r>
      <w:r>
        <w:t xml:space="preserve">”).  </w:t>
      </w:r>
    </w:p>
    <w:p w14:paraId="26A058A2" w14:textId="77777777" w:rsidR="00571840" w:rsidRDefault="00B927C3">
      <w:pPr>
        <w:numPr>
          <w:ilvl w:val="0"/>
          <w:numId w:val="1"/>
        </w:numPr>
        <w:spacing w:after="270"/>
        <w:ind w:hanging="360"/>
      </w:pPr>
      <w:r>
        <w:t xml:space="preserve">Participating in the </w:t>
      </w:r>
      <w:r w:rsidR="000F4237">
        <w:t>ATA Partner Network</w:t>
      </w:r>
      <w:r>
        <w:t xml:space="preserve"> may be an eligibility requirement to participate in other </w:t>
      </w:r>
      <w:r w:rsidR="0093493D">
        <w:t>Fenix Alliance</w:t>
      </w:r>
      <w:r>
        <w:t xml:space="preserve"> programs, including programs that authorize partners to distribute or resell </w:t>
      </w:r>
      <w:r w:rsidR="0093493D">
        <w:t>Fenix Alliance</w:t>
      </w:r>
      <w:r>
        <w:t xml:space="preserve"> Products, but this Agreement does not alter, amend, or modify the terms of any such program. In the event of a conflict between this Agreement and the terms of a separate program </w:t>
      </w:r>
      <w:r>
        <w:lastRenderedPageBreak/>
        <w:t xml:space="preserve">or agreement not specifically referenced herein, the terms of the separate program or agreement govern such program. </w:t>
      </w:r>
    </w:p>
    <w:p w14:paraId="7075068E" w14:textId="77777777" w:rsidR="00571840" w:rsidRDefault="00B927C3">
      <w:pPr>
        <w:pStyle w:val="Heading2"/>
        <w:ind w:left="9"/>
      </w:pPr>
      <w:r>
        <w:rPr>
          <w:noProof/>
        </w:rPr>
        <w:drawing>
          <wp:inline distT="0" distB="0" distL="0" distR="0" wp14:anchorId="00E70337" wp14:editId="397306A9">
            <wp:extent cx="102870" cy="99822"/>
            <wp:effectExtent l="0" t="0" r="0" b="0"/>
            <wp:docPr id="367" name="Picture 367"/>
            <wp:cNvGraphicFramePr/>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11"/>
                    <a:stretch>
                      <a:fillRect/>
                    </a:stretch>
                  </pic:blipFill>
                  <pic:spPr>
                    <a:xfrm>
                      <a:off x="0" y="0"/>
                      <a:ext cx="102870" cy="99822"/>
                    </a:xfrm>
                    <a:prstGeom prst="rect">
                      <a:avLst/>
                    </a:prstGeom>
                  </pic:spPr>
                </pic:pic>
              </a:graphicData>
            </a:graphic>
          </wp:inline>
        </w:drawing>
      </w:r>
      <w:r>
        <w:rPr>
          <w:rFonts w:ascii="Arial" w:eastAsia="Arial" w:hAnsi="Arial" w:cs="Arial"/>
        </w:rPr>
        <w:t xml:space="preserve"> </w:t>
      </w:r>
      <w:r>
        <w:t xml:space="preserve">Exclusion of Warranties </w:t>
      </w:r>
    </w:p>
    <w:p w14:paraId="54896F45" w14:textId="77777777" w:rsidR="00571840" w:rsidRDefault="00B927C3" w:rsidP="0093493D">
      <w:pPr>
        <w:numPr>
          <w:ilvl w:val="0"/>
          <w:numId w:val="2"/>
        </w:numPr>
        <w:ind w:hanging="360"/>
      </w:pPr>
      <w:r>
        <w:t>Your use of content, software, products, or services that are provided or supported by third parties (“</w:t>
      </w:r>
      <w:r>
        <w:rPr>
          <w:b/>
        </w:rPr>
        <w:t>Third-Party Content</w:t>
      </w:r>
      <w:r>
        <w:t xml:space="preserve">”) and provided to you by </w:t>
      </w:r>
      <w:r w:rsidR="0093493D">
        <w:t>Fenix Alliance</w:t>
      </w:r>
      <w:r>
        <w:t xml:space="preserve"> is subject to the applicable agreement between you and the Third-Party Content provider. </w:t>
      </w:r>
      <w:r w:rsidR="0093493D">
        <w:t>Fenix Alliance</w:t>
      </w:r>
      <w:r>
        <w:t xml:space="preserve"> does not control or assume any liability for Third-Party Content. If there is a conflict between this Agreement and the Third-Party Content provider’s terms, this Agreement will control.  </w:t>
      </w:r>
    </w:p>
    <w:p w14:paraId="377E834F" w14:textId="77777777" w:rsidR="0093493D" w:rsidRDefault="00B927C3" w:rsidP="0093493D">
      <w:pPr>
        <w:numPr>
          <w:ilvl w:val="0"/>
          <w:numId w:val="2"/>
        </w:numPr>
        <w:spacing w:after="1"/>
        <w:ind w:hanging="360"/>
      </w:pPr>
      <w:r>
        <w:t>The information presented on or through the Partner Portal is made available solely for general information purposes. We do not warrant the accuracy, completeness or usefulness of this information. Any reliance you place on such information is strictly at your own risk.</w:t>
      </w:r>
      <w:r w:rsidR="0093493D">
        <w:br/>
      </w:r>
    </w:p>
    <w:p w14:paraId="0B802DFE" w14:textId="77777777" w:rsidR="00571840" w:rsidRDefault="0093493D">
      <w:pPr>
        <w:spacing w:after="271"/>
        <w:ind w:left="705" w:firstLine="0"/>
      </w:pPr>
      <w:r w:rsidRPr="0093493D">
        <w:t xml:space="preserve">WE DISCLAIM ALL LIABILITY AND RESPONSIBILITY ARISING FROM ANY RELIANCE PLACED ON SUCH MATERIALS BY YOU OR ANY OTHER VISITOR TO THE PARTNER PORTAL, OR BY ANYONE WHO MAY BE INFORMED OF ANY OF ITS CONTENTS. FURTHER, THE </w:t>
      </w:r>
      <w:r w:rsidR="000F4237">
        <w:t>ATA Partner Network</w:t>
      </w:r>
      <w:r w:rsidRPr="0093493D">
        <w:t xml:space="preserve">, FENIX ALLIANCE MATERIALS, THIRDPARTY CONTENT, AND ANY BENEFITS OR OTHER MATERIALS THAT WE MAY OFFER THROUGH THE </w:t>
      </w:r>
      <w:r w:rsidR="000F4237">
        <w:t>ATA Partner Network</w:t>
      </w:r>
      <w:r w:rsidRPr="0093493D">
        <w:t xml:space="preserve"> ARE PROVIDED “AS-IS.” EXCEPT TO THE EXTENT PROHIBITED BY LAW, WE MAKE NO REPRESENTATIONS OR WARRANTIES OF ANY KIND, WHETHER EXPRESS, IMPLIED, STATUTORY, OR OTHERWISE, WITH RESPECT TO THE </w:t>
      </w:r>
      <w:r w:rsidR="000F4237">
        <w:t>ATA Partner Network</w:t>
      </w:r>
      <w:r w:rsidRPr="0093493D">
        <w:t xml:space="preserve">, FENIX ALLIANCE MATERIALS, THIRD-PARTY CONTENT, AND ANY BENEFITS OR OTHER MATERIALS THAT WE MAY OFFER THROUGH THE </w:t>
      </w:r>
      <w:r w:rsidR="000F4237">
        <w:t>ATA Partner Network</w:t>
      </w:r>
      <w:r w:rsidRPr="0093493D">
        <w:t>, INCLUDING ANY IMPLIED WARRANTIES OF MERCHANTABILITY, SATISFACTORY QUALITY, FITNESS FOR A PARTICULAR PURPOSE, NON-INFRINGEMENT, OR QUIET ENJOYMENT, ANY WARRANTIES THAT THE MATERIALS OR THIRD-PARTY CONTENT WILL BE ERROR FREE OR FREE OF HARMFUL COMPONENTS, AND ANY WARRANTIES ARISING OUT OF ANY COURSE OF DEALING OR USAGE OF TRADE</w:t>
      </w:r>
      <w:r w:rsidR="00B927C3">
        <w:t xml:space="preserve">. </w:t>
      </w:r>
    </w:p>
    <w:p w14:paraId="4F7116E7" w14:textId="77777777" w:rsidR="00571840" w:rsidRDefault="00B927C3">
      <w:pPr>
        <w:pStyle w:val="Heading2"/>
        <w:ind w:left="9"/>
      </w:pPr>
      <w:r>
        <w:rPr>
          <w:noProof/>
        </w:rPr>
        <w:drawing>
          <wp:inline distT="0" distB="0" distL="0" distR="0" wp14:anchorId="0CD34549" wp14:editId="2015AFD4">
            <wp:extent cx="101346" cy="99822"/>
            <wp:effectExtent l="0" t="0" r="0" b="0"/>
            <wp:docPr id="520" name="Picture 520"/>
            <wp:cNvGraphicFramePr/>
            <a:graphic xmlns:a="http://schemas.openxmlformats.org/drawingml/2006/main">
              <a:graphicData uri="http://schemas.openxmlformats.org/drawingml/2006/picture">
                <pic:pic xmlns:pic="http://schemas.openxmlformats.org/drawingml/2006/picture">
                  <pic:nvPicPr>
                    <pic:cNvPr id="520" name="Picture 520"/>
                    <pic:cNvPicPr/>
                  </pic:nvPicPr>
                  <pic:blipFill>
                    <a:blip r:embed="rId12"/>
                    <a:stretch>
                      <a:fillRect/>
                    </a:stretch>
                  </pic:blipFill>
                  <pic:spPr>
                    <a:xfrm>
                      <a:off x="0" y="0"/>
                      <a:ext cx="101346" cy="99822"/>
                    </a:xfrm>
                    <a:prstGeom prst="rect">
                      <a:avLst/>
                    </a:prstGeom>
                  </pic:spPr>
                </pic:pic>
              </a:graphicData>
            </a:graphic>
          </wp:inline>
        </w:drawing>
      </w:r>
      <w:r>
        <w:rPr>
          <w:rFonts w:ascii="Arial" w:eastAsia="Arial" w:hAnsi="Arial" w:cs="Arial"/>
        </w:rPr>
        <w:t xml:space="preserve"> </w:t>
      </w:r>
      <w:r>
        <w:t xml:space="preserve">Intellectual Property </w:t>
      </w:r>
    </w:p>
    <w:p w14:paraId="40888D82" w14:textId="77777777" w:rsidR="00571840" w:rsidRDefault="00B927C3">
      <w:pPr>
        <w:numPr>
          <w:ilvl w:val="0"/>
          <w:numId w:val="3"/>
        </w:numPr>
        <w:spacing w:after="235"/>
        <w:ind w:hanging="360"/>
      </w:pPr>
      <w:r>
        <w:t xml:space="preserve">Each party owns and retains all right, title, or interest in and to its own respective intellectual and other proprietary rights, and neither party grants such rights to the other party except as expressly granted in the Agreement. </w:t>
      </w:r>
    </w:p>
    <w:p w14:paraId="51A99C27" w14:textId="77777777" w:rsidR="00571840" w:rsidRDefault="00B927C3">
      <w:pPr>
        <w:numPr>
          <w:ilvl w:val="0"/>
          <w:numId w:val="3"/>
        </w:numPr>
        <w:spacing w:after="235"/>
        <w:ind w:hanging="360"/>
      </w:pPr>
      <w:r>
        <w:t>You may use, reproduce, and incorporate into portions of your own materials (“</w:t>
      </w:r>
      <w:r>
        <w:rPr>
          <w:b/>
        </w:rPr>
        <w:t>Partner Materials</w:t>
      </w:r>
      <w:r>
        <w:t xml:space="preserve">”) into the </w:t>
      </w:r>
      <w:r w:rsidR="0093493D">
        <w:t>Fenix Alliance</w:t>
      </w:r>
      <w:r>
        <w:t xml:space="preserve"> Materials solely for your business purposes contemplated under the </w:t>
      </w:r>
      <w:r w:rsidR="000F4237">
        <w:t>ATA Partner Network</w:t>
      </w:r>
      <w:r>
        <w:t xml:space="preserve"> during the term of this Agreement. If you provide Partner Materials to </w:t>
      </w:r>
      <w:r w:rsidR="0093493D">
        <w:t>Fenix Alliance</w:t>
      </w:r>
      <w:r>
        <w:t xml:space="preserve">, you grant to </w:t>
      </w:r>
      <w:r w:rsidR="0093493D">
        <w:t>Fenix Alliance</w:t>
      </w:r>
      <w:r>
        <w:t xml:space="preserve"> the right to reproduce, publish, distribute, and translate.  </w:t>
      </w:r>
    </w:p>
    <w:p w14:paraId="72D85B88" w14:textId="77777777" w:rsidR="00571840" w:rsidRDefault="00B927C3">
      <w:pPr>
        <w:numPr>
          <w:ilvl w:val="0"/>
          <w:numId w:val="3"/>
        </w:numPr>
        <w:spacing w:after="235"/>
        <w:ind w:hanging="360"/>
      </w:pPr>
      <w:r>
        <w:t xml:space="preserve">Neither party will remove any copyright, trademark, patent, or similar notices from the other party’s materials.  </w:t>
      </w:r>
    </w:p>
    <w:p w14:paraId="713C68AA" w14:textId="077674E9" w:rsidR="00571840" w:rsidRDefault="00B927C3">
      <w:pPr>
        <w:numPr>
          <w:ilvl w:val="0"/>
          <w:numId w:val="3"/>
        </w:numPr>
        <w:ind w:hanging="360"/>
      </w:pPr>
      <w:r>
        <w:t xml:space="preserve">Except as otherwise provided in a separate license agreement entered into between you and </w:t>
      </w:r>
      <w:r w:rsidR="0093493D">
        <w:t>Fenix Alliance</w:t>
      </w:r>
      <w:r>
        <w:t>, this Agreement does not grant either party any right, title, interest, or license in or to any of the other party’s trademarks, trade names, trade dress, or logos (collectively, “</w:t>
      </w:r>
      <w:r>
        <w:rPr>
          <w:b/>
        </w:rPr>
        <w:t>Marks</w:t>
      </w:r>
      <w:r>
        <w:t xml:space="preserve">”). You may </w:t>
      </w:r>
      <w:r>
        <w:lastRenderedPageBreak/>
        <w:t xml:space="preserve">use </w:t>
      </w:r>
      <w:r w:rsidR="0093493D">
        <w:t>Fenix Alliance</w:t>
      </w:r>
      <w:r>
        <w:t xml:space="preserve">’s corporate name, </w:t>
      </w:r>
      <w:r w:rsidR="0093493D">
        <w:t>Fenix Alliance</w:t>
      </w:r>
      <w:r>
        <w:t xml:space="preserve"> Product names, and trademarks (“</w:t>
      </w:r>
      <w:r w:rsidR="0093493D">
        <w:rPr>
          <w:b/>
        </w:rPr>
        <w:t>Fenix Alliance</w:t>
      </w:r>
      <w:r>
        <w:rPr>
          <w:b/>
        </w:rPr>
        <w:t xml:space="preserve"> Marks</w:t>
      </w:r>
      <w:r>
        <w:t xml:space="preserve">”) in plain text (but not logos, trade dress, designs, or word marks in stylized form) to accurately identify and refer to </w:t>
      </w:r>
      <w:r w:rsidR="0093493D">
        <w:t>Fenix Alliance</w:t>
      </w:r>
      <w:r>
        <w:t xml:space="preserve"> and its technology and services. In making such references, you must refrain from use that is likely to cause confusion about your relationship with </w:t>
      </w:r>
      <w:r w:rsidR="0093493D">
        <w:t>Fenix Alliance</w:t>
      </w:r>
      <w:r>
        <w:t xml:space="preserve"> and must comply wit</w:t>
      </w:r>
      <w:hyperlink r:id="rId13">
        <w:r>
          <w:t xml:space="preserve">h </w:t>
        </w:r>
      </w:hyperlink>
      <w:hyperlink r:id="rId14">
        <w:r w:rsidR="00594E00">
          <w:rPr>
            <w:color w:val="0000FF"/>
            <w:u w:val="single" w:color="0000FF"/>
          </w:rPr>
          <w:t>Fenix Alliance</w:t>
        </w:r>
        <w:r>
          <w:rPr>
            <w:color w:val="0000FF"/>
            <w:u w:val="single" w:color="0000FF"/>
          </w:rPr>
          <w:t>’s usage guidelines</w:t>
        </w:r>
      </w:hyperlink>
      <w:hyperlink r:id="rId15">
        <w:r>
          <w:t xml:space="preserve">. </w:t>
        </w:r>
      </w:hyperlink>
      <w:r>
        <w:t xml:space="preserve">You will promptly correct any misuse upon notice from </w:t>
      </w:r>
      <w:r w:rsidR="0093493D">
        <w:t>Fenix Alliance</w:t>
      </w:r>
      <w:r>
        <w:t xml:space="preserve">. We may revoke your permission to use </w:t>
      </w:r>
      <w:r w:rsidR="0093493D">
        <w:t>Fenix Alliance</w:t>
      </w:r>
      <w:r>
        <w:t xml:space="preserve">’s corporate name, </w:t>
      </w:r>
      <w:r w:rsidR="0093493D">
        <w:t>Fenix Alliance</w:t>
      </w:r>
      <w:r>
        <w:t xml:space="preserve"> Product names, and trademarks in plain text (but not logos, trade dress, designs, or word marks in stylized form) at any time by giving you written notice. Any goodwill generated by the use of </w:t>
      </w:r>
      <w:r w:rsidR="0093493D">
        <w:t>Fenix Alliance</w:t>
      </w:r>
      <w:r>
        <w:t xml:space="preserve"> Marks will inure solely to the benefit of </w:t>
      </w:r>
      <w:r w:rsidR="0093493D">
        <w:t>Fenix Alliance</w:t>
      </w:r>
      <w:r>
        <w:t xml:space="preserve">.  </w:t>
      </w:r>
    </w:p>
    <w:p w14:paraId="35883021" w14:textId="77777777" w:rsidR="00571840" w:rsidRDefault="00B927C3">
      <w:pPr>
        <w:pStyle w:val="Heading2"/>
        <w:ind w:left="9"/>
      </w:pPr>
      <w:r>
        <w:rPr>
          <w:noProof/>
        </w:rPr>
        <w:drawing>
          <wp:inline distT="0" distB="0" distL="0" distR="0" wp14:anchorId="7B07153B" wp14:editId="59C661A2">
            <wp:extent cx="105918" cy="98298"/>
            <wp:effectExtent l="0" t="0" r="0" b="0"/>
            <wp:docPr id="664" name="Picture 664"/>
            <wp:cNvGraphicFramePr/>
            <a:graphic xmlns:a="http://schemas.openxmlformats.org/drawingml/2006/main">
              <a:graphicData uri="http://schemas.openxmlformats.org/drawingml/2006/picture">
                <pic:pic xmlns:pic="http://schemas.openxmlformats.org/drawingml/2006/picture">
                  <pic:nvPicPr>
                    <pic:cNvPr id="664" name="Picture 664"/>
                    <pic:cNvPicPr/>
                  </pic:nvPicPr>
                  <pic:blipFill>
                    <a:blip r:embed="rId16"/>
                    <a:stretch>
                      <a:fillRect/>
                    </a:stretch>
                  </pic:blipFill>
                  <pic:spPr>
                    <a:xfrm>
                      <a:off x="0" y="0"/>
                      <a:ext cx="105918" cy="98298"/>
                    </a:xfrm>
                    <a:prstGeom prst="rect">
                      <a:avLst/>
                    </a:prstGeom>
                  </pic:spPr>
                </pic:pic>
              </a:graphicData>
            </a:graphic>
          </wp:inline>
        </w:drawing>
      </w:r>
      <w:r>
        <w:rPr>
          <w:rFonts w:ascii="Arial" w:eastAsia="Arial" w:hAnsi="Arial" w:cs="Arial"/>
        </w:rPr>
        <w:t xml:space="preserve"> </w:t>
      </w:r>
      <w:r>
        <w:t xml:space="preserve">Term and Termination </w:t>
      </w:r>
    </w:p>
    <w:p w14:paraId="44AB2AE5" w14:textId="77777777" w:rsidR="00571840" w:rsidRDefault="00B927C3">
      <w:pPr>
        <w:numPr>
          <w:ilvl w:val="0"/>
          <w:numId w:val="4"/>
        </w:numPr>
        <w:spacing w:after="235"/>
        <w:ind w:hanging="360"/>
      </w:pPr>
      <w:r>
        <w:t xml:space="preserve">The term of this Agreement commences when you accept this Agreement and continues until terminated in accordance with Section 4.b.  </w:t>
      </w:r>
    </w:p>
    <w:p w14:paraId="759962EA" w14:textId="77777777" w:rsidR="00571840" w:rsidRDefault="00B927C3">
      <w:pPr>
        <w:numPr>
          <w:ilvl w:val="0"/>
          <w:numId w:val="4"/>
        </w:numPr>
        <w:spacing w:after="235"/>
        <w:ind w:hanging="360"/>
      </w:pPr>
      <w:r>
        <w:t xml:space="preserve">Either party may terminate this Agreement (in whole or in part):  </w:t>
      </w:r>
    </w:p>
    <w:p w14:paraId="18748F0A" w14:textId="77777777" w:rsidR="00571840" w:rsidRDefault="00B927C3">
      <w:pPr>
        <w:numPr>
          <w:ilvl w:val="1"/>
          <w:numId w:val="4"/>
        </w:numPr>
        <w:spacing w:after="194" w:line="258" w:lineRule="auto"/>
        <w:ind w:hanging="360"/>
      </w:pPr>
      <w:r>
        <w:t xml:space="preserve">by giving 30 days’ prior written notice; </w:t>
      </w:r>
    </w:p>
    <w:p w14:paraId="4AA038FD" w14:textId="77777777" w:rsidR="00571840" w:rsidRDefault="00B927C3">
      <w:pPr>
        <w:numPr>
          <w:ilvl w:val="1"/>
          <w:numId w:val="4"/>
        </w:numPr>
        <w:ind w:hanging="360"/>
      </w:pPr>
      <w:r>
        <w:t xml:space="preserve">immediately if a party breaches or defaults in its obligations under Sections 5 (Privacy and Data Protection), 6 (Mutual Confidentiality), or 7 (Business Integrity Principles); or  </w:t>
      </w:r>
    </w:p>
    <w:p w14:paraId="7FB73140" w14:textId="77777777" w:rsidR="00571840" w:rsidRDefault="00B927C3">
      <w:pPr>
        <w:numPr>
          <w:ilvl w:val="1"/>
          <w:numId w:val="4"/>
        </w:numPr>
        <w:spacing w:after="161" w:line="258" w:lineRule="auto"/>
        <w:ind w:hanging="360"/>
      </w:pPr>
      <w:r>
        <w:t xml:space="preserve">immediately if there is an infringement of a party’s intellectual property rights, or Incurable Breach.  </w:t>
      </w:r>
    </w:p>
    <w:p w14:paraId="31E9614E" w14:textId="77777777" w:rsidR="00571840" w:rsidRDefault="00B927C3">
      <w:pPr>
        <w:ind w:left="705" w:firstLine="0"/>
      </w:pPr>
      <w:r>
        <w:t>“</w:t>
      </w:r>
      <w:r>
        <w:rPr>
          <w:b/>
        </w:rPr>
        <w:t>Incurable Breach</w:t>
      </w:r>
      <w:r>
        <w:t xml:space="preserve">” means any breach or default of this Agreement where a timely remedy is infeasible under the circumstances. </w:t>
      </w:r>
    </w:p>
    <w:p w14:paraId="6146CD51" w14:textId="77777777" w:rsidR="00571840" w:rsidRDefault="00B927C3">
      <w:pPr>
        <w:numPr>
          <w:ilvl w:val="0"/>
          <w:numId w:val="4"/>
        </w:numPr>
        <w:spacing w:after="274"/>
        <w:ind w:hanging="360"/>
      </w:pPr>
      <w:r>
        <w:t xml:space="preserve">Upon termination of this Agreement: (1) your enrollment in all </w:t>
      </w:r>
      <w:r w:rsidR="000F4237">
        <w:t>ATA Partner Network</w:t>
      </w:r>
      <w:r>
        <w:t xml:space="preserve"> Programs will end; (2) all licenses granted by you or us under this Agreement will be terminated; (3) you will immediately cease use of all </w:t>
      </w:r>
      <w:r w:rsidR="0093493D">
        <w:t>Fenix Alliance</w:t>
      </w:r>
      <w:r>
        <w:t xml:space="preserve"> Materials; and (4) you will immediately cease to identify yourself or hold yourself out as an </w:t>
      </w:r>
      <w:r w:rsidR="000F4237">
        <w:t>ATA Partner Network</w:t>
      </w:r>
      <w:r>
        <w:t xml:space="preserve"> participant. </w:t>
      </w:r>
      <w:r w:rsidR="0093493D">
        <w:t>Fenix Alliance</w:t>
      </w:r>
      <w:r>
        <w:t xml:space="preserve"> will have no obligation to make any payments for activities that are not completed prior to the effective date of termination, including applicable incentive payments. Except as otherwise provided in this Agreement and the Additional Terms, only Sections 2, 3, 5, 6, 7.d, 8, 9, 10 and 11 will survive termination. </w:t>
      </w:r>
    </w:p>
    <w:p w14:paraId="743F9069" w14:textId="77777777" w:rsidR="00571840" w:rsidRDefault="00B927C3">
      <w:pPr>
        <w:pStyle w:val="Heading2"/>
        <w:ind w:left="9"/>
      </w:pPr>
      <w:r>
        <w:rPr>
          <w:noProof/>
        </w:rPr>
        <w:drawing>
          <wp:inline distT="0" distB="0" distL="0" distR="0" wp14:anchorId="2A9C5E97" wp14:editId="4BE59F6C">
            <wp:extent cx="99822" cy="98298"/>
            <wp:effectExtent l="0" t="0" r="0" b="0"/>
            <wp:docPr id="799" name="Picture 799"/>
            <wp:cNvGraphicFramePr/>
            <a:graphic xmlns:a="http://schemas.openxmlformats.org/drawingml/2006/main">
              <a:graphicData uri="http://schemas.openxmlformats.org/drawingml/2006/picture">
                <pic:pic xmlns:pic="http://schemas.openxmlformats.org/drawingml/2006/picture">
                  <pic:nvPicPr>
                    <pic:cNvPr id="799" name="Picture 799"/>
                    <pic:cNvPicPr/>
                  </pic:nvPicPr>
                  <pic:blipFill>
                    <a:blip r:embed="rId17"/>
                    <a:stretch>
                      <a:fillRect/>
                    </a:stretch>
                  </pic:blipFill>
                  <pic:spPr>
                    <a:xfrm>
                      <a:off x="0" y="0"/>
                      <a:ext cx="99822" cy="98298"/>
                    </a:xfrm>
                    <a:prstGeom prst="rect">
                      <a:avLst/>
                    </a:prstGeom>
                  </pic:spPr>
                </pic:pic>
              </a:graphicData>
            </a:graphic>
          </wp:inline>
        </w:drawing>
      </w:r>
      <w:r>
        <w:rPr>
          <w:rFonts w:ascii="Arial" w:eastAsia="Arial" w:hAnsi="Arial" w:cs="Arial"/>
        </w:rPr>
        <w:t xml:space="preserve"> </w:t>
      </w:r>
      <w:r>
        <w:t xml:space="preserve">Privacy and Data Protection </w:t>
      </w:r>
    </w:p>
    <w:p w14:paraId="4594133D" w14:textId="77777777" w:rsidR="00571840" w:rsidRDefault="00B927C3">
      <w:pPr>
        <w:numPr>
          <w:ilvl w:val="0"/>
          <w:numId w:val="5"/>
        </w:numPr>
        <w:spacing w:after="235"/>
        <w:ind w:hanging="360"/>
      </w:pPr>
      <w:r>
        <w:t xml:space="preserve">Each party will comply with Data Protection Law (as defined below). Without limiting the foregoing, each party will: </w:t>
      </w:r>
    </w:p>
    <w:p w14:paraId="5CB2F82E" w14:textId="77777777" w:rsidR="00571840" w:rsidRDefault="00B927C3">
      <w:pPr>
        <w:numPr>
          <w:ilvl w:val="1"/>
          <w:numId w:val="5"/>
        </w:numPr>
        <w:ind w:hanging="360"/>
      </w:pPr>
      <w:r>
        <w:t xml:space="preserve">not use or share Personal Data received from the other party (or its customers) for a purpose for which it has not obtained consent; </w:t>
      </w:r>
    </w:p>
    <w:p w14:paraId="58E7E190" w14:textId="77777777" w:rsidR="00571840" w:rsidRDefault="00B927C3">
      <w:pPr>
        <w:numPr>
          <w:ilvl w:val="1"/>
          <w:numId w:val="5"/>
        </w:numPr>
        <w:ind w:hanging="360"/>
      </w:pPr>
      <w:r>
        <w:t xml:space="preserve">establish independent procedures for managing and responding to any communication from a customer seeking to exercise its rights under Data Protection laws;  </w:t>
      </w:r>
    </w:p>
    <w:p w14:paraId="52C53DE2" w14:textId="77777777" w:rsidR="00571840" w:rsidRDefault="00B927C3">
      <w:pPr>
        <w:numPr>
          <w:ilvl w:val="1"/>
          <w:numId w:val="5"/>
        </w:numPr>
        <w:ind w:hanging="360"/>
      </w:pPr>
      <w:r>
        <w:lastRenderedPageBreak/>
        <w:t xml:space="preserve">provide reasonable assistance to the other in responding to any requests, investigation, consultation, or claims from a customer, regulator, or supervisory authority concerning Data Protection Law; </w:t>
      </w:r>
    </w:p>
    <w:p w14:paraId="73E3E881" w14:textId="77777777" w:rsidR="00571840" w:rsidRDefault="00B927C3">
      <w:pPr>
        <w:numPr>
          <w:ilvl w:val="1"/>
          <w:numId w:val="5"/>
        </w:numPr>
        <w:ind w:hanging="360"/>
      </w:pPr>
      <w:r>
        <w:t xml:space="preserve">take appropriate security measures that are required by Data Protection Law, and in accordance with good industry practice relating to data security; and </w:t>
      </w:r>
    </w:p>
    <w:p w14:paraId="095BA22A" w14:textId="77777777" w:rsidR="00571840" w:rsidRDefault="00B927C3">
      <w:pPr>
        <w:numPr>
          <w:ilvl w:val="1"/>
          <w:numId w:val="5"/>
        </w:numPr>
        <w:ind w:hanging="360"/>
      </w:pPr>
      <w:r>
        <w:t xml:space="preserve">refrain from transmitting unsolicited commercial communications in any manner that would violate applicable laws. </w:t>
      </w:r>
    </w:p>
    <w:p w14:paraId="1B68DE22" w14:textId="77777777" w:rsidR="00571840" w:rsidRDefault="00B927C3">
      <w:pPr>
        <w:numPr>
          <w:ilvl w:val="0"/>
          <w:numId w:val="5"/>
        </w:numPr>
        <w:spacing w:after="235"/>
        <w:ind w:hanging="360"/>
      </w:pPr>
      <w:r>
        <w:t xml:space="preserve">The following terms apply to your participation (if any) in the </w:t>
      </w:r>
      <w:r w:rsidR="0093493D">
        <w:t>Fenix Alliance</w:t>
      </w:r>
      <w:r>
        <w:t xml:space="preserve"> </w:t>
      </w:r>
      <w:r w:rsidR="000F4237">
        <w:t>Trusted</w:t>
      </w:r>
      <w:r>
        <w:t xml:space="preserve"> Advisor or Cloud Solution </w:t>
      </w:r>
      <w:r w:rsidR="000F4237">
        <w:t>Advisor</w:t>
      </w:r>
      <w:r>
        <w:t xml:space="preserve"> (CS</w:t>
      </w:r>
      <w:r w:rsidR="000F4237">
        <w:t>A</w:t>
      </w:r>
      <w:r>
        <w:t xml:space="preserve">) Programs:  </w:t>
      </w:r>
    </w:p>
    <w:p w14:paraId="211E6CA9" w14:textId="77777777" w:rsidR="000F4237" w:rsidRDefault="00B927C3" w:rsidP="0093493D">
      <w:pPr>
        <w:numPr>
          <w:ilvl w:val="1"/>
          <w:numId w:val="5"/>
        </w:numPr>
        <w:spacing w:after="443"/>
        <w:ind w:hanging="360"/>
      </w:pPr>
      <w:r>
        <w:t xml:space="preserve">You must enable a multifactor authentication service in accessing any </w:t>
      </w:r>
      <w:r w:rsidR="0093493D">
        <w:t>Fenix Alliance</w:t>
      </w:r>
      <w:r>
        <w:t xml:space="preserve"> Commercial Cloud portal or any underlying service.  Further, starting on this date any software application that is used to access the Partner Center API must adhere to the Secure Application Model, which is made available on Partner Center. </w:t>
      </w:r>
    </w:p>
    <w:p w14:paraId="273B4C9D" w14:textId="77777777" w:rsidR="000F4237" w:rsidRDefault="00B927C3" w:rsidP="0093493D">
      <w:pPr>
        <w:numPr>
          <w:ilvl w:val="1"/>
          <w:numId w:val="5"/>
        </w:numPr>
        <w:spacing w:after="443"/>
        <w:ind w:hanging="360"/>
      </w:pPr>
      <w:r>
        <w:t>The requirement to enable a multifactor authentication service may be fulfilled by either (</w:t>
      </w:r>
      <w:proofErr w:type="spellStart"/>
      <w:r>
        <w:t>i</w:t>
      </w:r>
      <w:proofErr w:type="spellEnd"/>
      <w:r>
        <w:t xml:space="preserve">) your enablement of Security Defaults, or any other successor feature identified by </w:t>
      </w:r>
      <w:r w:rsidR="0093493D">
        <w:t>Fenix Alliance</w:t>
      </w:r>
      <w:r>
        <w:t xml:space="preserve">; (ii) your purchase of a </w:t>
      </w:r>
      <w:r w:rsidR="0093493D">
        <w:t>Fenix Alliance</w:t>
      </w:r>
      <w:r>
        <w:t xml:space="preserve"> offer that includes a multi-factor authentication service (for example, “Azure Active Directory Premium”); or (iii) your purchase of a third-party “on-premises” multifactor authentication service that supports Azure Active Directory federated services.</w:t>
      </w:r>
    </w:p>
    <w:p w14:paraId="28F6E5DF" w14:textId="77777777" w:rsidR="000F4237" w:rsidRDefault="0093493D" w:rsidP="0093493D">
      <w:pPr>
        <w:numPr>
          <w:ilvl w:val="1"/>
          <w:numId w:val="5"/>
        </w:numPr>
        <w:spacing w:after="443"/>
        <w:ind w:hanging="360"/>
      </w:pPr>
      <w:r>
        <w:t>I</w:t>
      </w:r>
      <w:r w:rsidR="00B927C3">
        <w:t xml:space="preserve">f an offer or service, as described in 5.b(1) and 5.b(2) above, is purchased in fulfillment of the requirement to enable a multifactor authentication service, then you must, and must require your Indirect Resellers, as applicable, to, apply and enforce the use of the underlying multifactor authentication service for all users in their accessing any </w:t>
      </w:r>
      <w:r>
        <w:t>Fenix Alliance</w:t>
      </w:r>
      <w:r w:rsidR="00B927C3">
        <w:t xml:space="preserve"> Commercial Cloud portal or any underlying service.</w:t>
      </w:r>
    </w:p>
    <w:p w14:paraId="22DD76C1" w14:textId="77777777" w:rsidR="00571840" w:rsidRDefault="000F4237" w:rsidP="0093493D">
      <w:pPr>
        <w:numPr>
          <w:ilvl w:val="1"/>
          <w:numId w:val="5"/>
        </w:numPr>
        <w:spacing w:after="443"/>
        <w:ind w:hanging="360"/>
      </w:pPr>
      <w:r>
        <w:t>I</w:t>
      </w:r>
      <w:r w:rsidR="00B927C3">
        <w:t>n the event you become aware of (</w:t>
      </w:r>
      <w:proofErr w:type="spellStart"/>
      <w:r w:rsidR="00B927C3">
        <w:t>i</w:t>
      </w:r>
      <w:proofErr w:type="spellEnd"/>
      <w:r w:rsidR="00B927C3">
        <w:t xml:space="preserve">) any unlawful access to any Customer Data, or (ii) unauthorized access to such facilities or equipment resulting in loss, disclosure or alteration of any Customer Data, or (iii) any actual loss of or suspected threats to the security of Customer Data (each, a “Security Incident”), you must notify </w:t>
      </w:r>
      <w:r w:rsidR="0093493D">
        <w:t>Fenix Alliance</w:t>
      </w:r>
      <w:r w:rsidR="00B927C3">
        <w:t xml:space="preserve"> at </w:t>
      </w:r>
      <w:r w:rsidR="00B927C3" w:rsidRPr="0093493D">
        <w:rPr>
          <w:color w:val="0000FF"/>
          <w:u w:val="single" w:color="0000FF"/>
        </w:rPr>
        <w:t>cert@</w:t>
      </w:r>
      <w:r w:rsidR="007C7B8A">
        <w:rPr>
          <w:color w:val="0000FF"/>
          <w:u w:val="single" w:color="0000FF"/>
        </w:rPr>
        <w:t>fenix-alliance.com</w:t>
      </w:r>
      <w:r w:rsidR="00B927C3">
        <w:t xml:space="preserve"> promptly and without undue delay; provided that in the event a Security Incident involves Customer Personal Data, you must notify </w:t>
      </w:r>
      <w:r w:rsidR="0093493D">
        <w:t>Fenix Alliance</w:t>
      </w:r>
      <w:r w:rsidR="00B927C3">
        <w:t xml:space="preserve"> within 72 hours after having become aware of it.  </w:t>
      </w:r>
    </w:p>
    <w:p w14:paraId="25217C51" w14:textId="77777777" w:rsidR="00571840" w:rsidRDefault="00B927C3">
      <w:pPr>
        <w:numPr>
          <w:ilvl w:val="0"/>
          <w:numId w:val="5"/>
        </w:numPr>
        <w:spacing w:after="235"/>
        <w:ind w:hanging="360"/>
      </w:pPr>
      <w:r>
        <w:t xml:space="preserve">In the event of a conflict between this Section 5 (Privacy and Data Protection) and Section 6 (Mutual Confidentiality), the Section that offers greater protection for Personal Data will apply. </w:t>
      </w:r>
    </w:p>
    <w:p w14:paraId="10AAFDBB" w14:textId="77777777" w:rsidR="00571840" w:rsidRDefault="00B927C3">
      <w:pPr>
        <w:numPr>
          <w:ilvl w:val="0"/>
          <w:numId w:val="5"/>
        </w:numPr>
        <w:ind w:hanging="360"/>
      </w:pPr>
      <w:r>
        <w:t xml:space="preserve">As used in this Section, the following terms will have the meaning set forth below: </w:t>
      </w:r>
    </w:p>
    <w:p w14:paraId="0AD49B4B" w14:textId="77777777" w:rsidR="00571840" w:rsidRDefault="00B927C3">
      <w:pPr>
        <w:spacing w:after="159"/>
        <w:ind w:left="705" w:firstLine="0"/>
      </w:pPr>
      <w:r>
        <w:lastRenderedPageBreak/>
        <w:t>“</w:t>
      </w:r>
      <w:r>
        <w:rPr>
          <w:b/>
        </w:rPr>
        <w:t>Customer Data</w:t>
      </w:r>
      <w:r>
        <w:t xml:space="preserve">” means data belonging to your end customers and which is accessible by you through the </w:t>
      </w:r>
      <w:r w:rsidR="0093493D">
        <w:t>Fenix Alliance</w:t>
      </w:r>
      <w:r>
        <w:t xml:space="preserve"> Commercial Cloud Portal. </w:t>
      </w:r>
    </w:p>
    <w:p w14:paraId="1956541B" w14:textId="77777777" w:rsidR="00571840" w:rsidRDefault="00B927C3">
      <w:pPr>
        <w:spacing w:after="159"/>
        <w:ind w:left="705" w:firstLine="0"/>
      </w:pPr>
      <w:r>
        <w:t>“</w:t>
      </w:r>
      <w:r>
        <w:rPr>
          <w:b/>
        </w:rPr>
        <w:t>Data Protection Law</w:t>
      </w:r>
      <w:r>
        <w:rPr>
          <w:i/>
        </w:rPr>
        <w:t xml:space="preserve">” </w:t>
      </w:r>
      <w:r>
        <w:t xml:space="preserve">means any laws applicable to you or </w:t>
      </w:r>
      <w:r w:rsidR="0093493D">
        <w:t>Fenix Alliance</w:t>
      </w:r>
      <w:r>
        <w:t>, relating to data security, data protection and/or privacy, including Regulation (EU) 2016/679 of the European Parliament and of the Council of 27 April 2016 on the protection of natural persons with regard to processing of Personal Data and the free movement of that data (“</w:t>
      </w:r>
      <w:r>
        <w:rPr>
          <w:b/>
        </w:rPr>
        <w:t>GDPR</w:t>
      </w:r>
      <w:r>
        <w:t xml:space="preserve">”). </w:t>
      </w:r>
    </w:p>
    <w:p w14:paraId="1FE54AB4" w14:textId="77777777" w:rsidR="00571840" w:rsidRDefault="00B927C3">
      <w:pPr>
        <w:spacing w:after="161" w:line="258" w:lineRule="auto"/>
        <w:ind w:left="705" w:firstLine="0"/>
      </w:pPr>
      <w:r>
        <w:t>“</w:t>
      </w:r>
      <w:r w:rsidR="0093493D">
        <w:rPr>
          <w:b/>
        </w:rPr>
        <w:t>Fenix Alliance</w:t>
      </w:r>
      <w:r>
        <w:rPr>
          <w:b/>
        </w:rPr>
        <w:t xml:space="preserve"> Commercial Cloud portal</w:t>
      </w:r>
      <w:r>
        <w:t>” refers to each of, but is not limited to, the Portal, the “</w:t>
      </w:r>
      <w:r w:rsidR="000F4237">
        <w:t>Alliance Business Suite</w:t>
      </w:r>
      <w:r>
        <w:t xml:space="preserve"> Portal”, the “</w:t>
      </w:r>
      <w:r w:rsidR="000F4237">
        <w:t>Alliance Business Services</w:t>
      </w:r>
      <w:r>
        <w:t xml:space="preserve"> Marketplace” portal, </w:t>
      </w:r>
      <w:r w:rsidR="000F4237">
        <w:t xml:space="preserve">the “Infinity Comex” portal, </w:t>
      </w:r>
      <w:r>
        <w:t xml:space="preserve">and the “Office Portal”.  </w:t>
      </w:r>
    </w:p>
    <w:p w14:paraId="3A6FAC64" w14:textId="77777777" w:rsidR="00571840" w:rsidRDefault="00B927C3">
      <w:pPr>
        <w:spacing w:after="270"/>
        <w:ind w:left="705" w:firstLine="0"/>
      </w:pPr>
      <w:r>
        <w:t>“</w:t>
      </w:r>
      <w:r>
        <w:rPr>
          <w:b/>
        </w:rPr>
        <w:t>Personal Data</w:t>
      </w:r>
      <w:r>
        <w:t xml:space="preserve">” means any information relating to an identified or identifiable natural person. An identifiable natural person is one who can be identified directly or indirectly by referencing an identifier such as a name, an identification number, location data, an online identifier, or to one or more factors specific to the physical, physiological, genetic, mental, economic, cultural, or social identity of that natural person. </w:t>
      </w:r>
    </w:p>
    <w:p w14:paraId="6935395D" w14:textId="77777777" w:rsidR="00571840" w:rsidRDefault="00B927C3">
      <w:pPr>
        <w:pStyle w:val="Heading2"/>
        <w:ind w:left="9"/>
      </w:pPr>
      <w:r>
        <w:rPr>
          <w:noProof/>
        </w:rPr>
        <w:drawing>
          <wp:inline distT="0" distB="0" distL="0" distR="0" wp14:anchorId="471A305F" wp14:editId="52BE93FD">
            <wp:extent cx="101346" cy="99822"/>
            <wp:effectExtent l="0" t="0" r="0" b="0"/>
            <wp:docPr id="1021" name="Picture 1021"/>
            <wp:cNvGraphicFramePr/>
            <a:graphic xmlns:a="http://schemas.openxmlformats.org/drawingml/2006/main">
              <a:graphicData uri="http://schemas.openxmlformats.org/drawingml/2006/picture">
                <pic:pic xmlns:pic="http://schemas.openxmlformats.org/drawingml/2006/picture">
                  <pic:nvPicPr>
                    <pic:cNvPr id="1021" name="Picture 1021"/>
                    <pic:cNvPicPr/>
                  </pic:nvPicPr>
                  <pic:blipFill>
                    <a:blip r:embed="rId18"/>
                    <a:stretch>
                      <a:fillRect/>
                    </a:stretch>
                  </pic:blipFill>
                  <pic:spPr>
                    <a:xfrm>
                      <a:off x="0" y="0"/>
                      <a:ext cx="101346" cy="99822"/>
                    </a:xfrm>
                    <a:prstGeom prst="rect">
                      <a:avLst/>
                    </a:prstGeom>
                  </pic:spPr>
                </pic:pic>
              </a:graphicData>
            </a:graphic>
          </wp:inline>
        </w:drawing>
      </w:r>
      <w:r>
        <w:rPr>
          <w:rFonts w:ascii="Arial" w:eastAsia="Arial" w:hAnsi="Arial" w:cs="Arial"/>
        </w:rPr>
        <w:t xml:space="preserve"> </w:t>
      </w:r>
      <w:r>
        <w:t xml:space="preserve">Confidentiality and Publicity    </w:t>
      </w:r>
    </w:p>
    <w:p w14:paraId="39E6981A" w14:textId="77777777" w:rsidR="00571840" w:rsidRDefault="00B927C3">
      <w:pPr>
        <w:numPr>
          <w:ilvl w:val="0"/>
          <w:numId w:val="6"/>
        </w:numPr>
        <w:spacing w:after="235"/>
        <w:ind w:hanging="360"/>
      </w:pPr>
      <w:r>
        <w:t xml:space="preserve">If separate nondisclosure agreement is in place between </w:t>
      </w:r>
      <w:r w:rsidR="0093493D">
        <w:t>Fenix Alliance</w:t>
      </w:r>
      <w:r>
        <w:t xml:space="preserve"> and Company, such agreement will govern all Confidential Information exchanged between the parties.    </w:t>
      </w:r>
    </w:p>
    <w:p w14:paraId="5E65E5D3" w14:textId="77777777" w:rsidR="00571840" w:rsidRDefault="00B927C3">
      <w:pPr>
        <w:numPr>
          <w:ilvl w:val="0"/>
          <w:numId w:val="6"/>
        </w:numPr>
        <w:ind w:hanging="360"/>
      </w:pPr>
      <w:r>
        <w:t xml:space="preserve">If no such nondisclosure agreement is in effect, the following provisions apply to the parties’ exchange of Confidential Information:  </w:t>
      </w:r>
    </w:p>
    <w:p w14:paraId="062EBB54" w14:textId="77777777" w:rsidR="00571840" w:rsidRDefault="00B927C3">
      <w:pPr>
        <w:numPr>
          <w:ilvl w:val="1"/>
          <w:numId w:val="6"/>
        </w:numPr>
        <w:ind w:hanging="360"/>
      </w:pPr>
      <w:r>
        <w:t xml:space="preserve">“Confidential Information” means a party's non-public information, know-how, or trade secrets that (a) the party designates as being confidential; or (b) given the nature of the disclosure or circumstances surrounding the disclosure, the receiving party should treat as confidential. </w:t>
      </w:r>
    </w:p>
    <w:p w14:paraId="49D539AA" w14:textId="77777777" w:rsidR="00571840" w:rsidRDefault="00B927C3">
      <w:pPr>
        <w:numPr>
          <w:ilvl w:val="1"/>
          <w:numId w:val="6"/>
        </w:numPr>
        <w:ind w:hanging="360"/>
      </w:pPr>
      <w:r>
        <w:t>Each party must not disclose any Confidential Information of the other for 5 years following the date of initial disclosure.  However, there is no time limit regarding the disclosure of Confidential Information that contains Personal Data.  The receiving party will not be liable for disclosure of information which: (</w:t>
      </w:r>
      <w:proofErr w:type="spellStart"/>
      <w:r>
        <w:t>i</w:t>
      </w:r>
      <w:proofErr w:type="spellEnd"/>
      <w:r>
        <w:t xml:space="preserve">) it already knew without an obligation to maintain the information as confidential; (ii) it received from a third party without breach of an obligation of confidentiality owed to the other party; (iii) it independently developed; or (iv) becomes publicly known through no wrongful act of the receiving party.  </w:t>
      </w:r>
    </w:p>
    <w:p w14:paraId="141218C9" w14:textId="77777777" w:rsidR="00571840" w:rsidRDefault="00B927C3">
      <w:pPr>
        <w:numPr>
          <w:ilvl w:val="1"/>
          <w:numId w:val="6"/>
        </w:numPr>
        <w:ind w:hanging="360"/>
      </w:pPr>
      <w:r>
        <w:t xml:space="preserve">If either party is required by a court order or laws to disclose the other party’s Confidential Information, prior to disclosure, the disclosing party must seek the highest level of protection available and must give the other party reasonable prior notice when possible to allow it to seek a protective order.  </w:t>
      </w:r>
    </w:p>
    <w:p w14:paraId="154D8B53" w14:textId="77777777" w:rsidR="00571840" w:rsidRDefault="00B927C3">
      <w:pPr>
        <w:numPr>
          <w:ilvl w:val="1"/>
          <w:numId w:val="6"/>
        </w:numPr>
        <w:ind w:hanging="360"/>
      </w:pPr>
      <w:r>
        <w:t xml:space="preserve">Neither party is required to restrict the work assignments of employees who have had access to Confidential Information.  Neither party can control the incoming information the other will disclose in the course of working together, or what its employees will remember, even without notes or other aids.  Neither party will bring a claim under trade secret law, or for breach of this </w:t>
      </w:r>
      <w:r>
        <w:lastRenderedPageBreak/>
        <w:t xml:space="preserve">Agreement, to the extent arising out of use of Confidential Information in such employees’ unaided memories in the development or deployment of each party’s respective Products.  </w:t>
      </w:r>
    </w:p>
    <w:p w14:paraId="5AE69A62" w14:textId="77777777" w:rsidR="00571840" w:rsidRDefault="00B927C3">
      <w:pPr>
        <w:numPr>
          <w:ilvl w:val="0"/>
          <w:numId w:val="6"/>
        </w:numPr>
        <w:spacing w:after="273"/>
        <w:ind w:hanging="360"/>
      </w:pPr>
      <w:r>
        <w:t xml:space="preserve">Except as otherwise required by laws or as otherwise expressly authorized under the Agreement, neither party will issue any press release, publicity, or other disclosure in any form that relates to the terms of the Agreement or to a party’s relationship with the other party, including in client presentations or client lists, without the other party’s prior written approval.  </w:t>
      </w:r>
    </w:p>
    <w:p w14:paraId="5BBD9A62" w14:textId="77777777" w:rsidR="00571840" w:rsidRDefault="00B927C3">
      <w:pPr>
        <w:pStyle w:val="Heading2"/>
        <w:ind w:left="9"/>
      </w:pPr>
      <w:r>
        <w:rPr>
          <w:noProof/>
        </w:rPr>
        <w:drawing>
          <wp:inline distT="0" distB="0" distL="0" distR="0" wp14:anchorId="744024D4" wp14:editId="5BD1C3A3">
            <wp:extent cx="102870" cy="98298"/>
            <wp:effectExtent l="0" t="0" r="0" b="0"/>
            <wp:docPr id="1120" name="Picture 1120"/>
            <wp:cNvGraphicFramePr/>
            <a:graphic xmlns:a="http://schemas.openxmlformats.org/drawingml/2006/main">
              <a:graphicData uri="http://schemas.openxmlformats.org/drawingml/2006/picture">
                <pic:pic xmlns:pic="http://schemas.openxmlformats.org/drawingml/2006/picture">
                  <pic:nvPicPr>
                    <pic:cNvPr id="1120" name="Picture 1120"/>
                    <pic:cNvPicPr/>
                  </pic:nvPicPr>
                  <pic:blipFill>
                    <a:blip r:embed="rId19"/>
                    <a:stretch>
                      <a:fillRect/>
                    </a:stretch>
                  </pic:blipFill>
                  <pic:spPr>
                    <a:xfrm>
                      <a:off x="0" y="0"/>
                      <a:ext cx="102870" cy="98298"/>
                    </a:xfrm>
                    <a:prstGeom prst="rect">
                      <a:avLst/>
                    </a:prstGeom>
                  </pic:spPr>
                </pic:pic>
              </a:graphicData>
            </a:graphic>
          </wp:inline>
        </w:drawing>
      </w:r>
      <w:r>
        <w:rPr>
          <w:rFonts w:ascii="Arial" w:eastAsia="Arial" w:hAnsi="Arial" w:cs="Arial"/>
        </w:rPr>
        <w:t xml:space="preserve"> </w:t>
      </w:r>
      <w:r>
        <w:t xml:space="preserve">Business Integrity Principles  </w:t>
      </w:r>
    </w:p>
    <w:p w14:paraId="13D89A50" w14:textId="77777777" w:rsidR="00571840" w:rsidRDefault="00B927C3">
      <w:pPr>
        <w:numPr>
          <w:ilvl w:val="0"/>
          <w:numId w:val="7"/>
        </w:numPr>
        <w:spacing w:after="235"/>
        <w:ind w:hanging="360"/>
      </w:pPr>
      <w:r>
        <w:t xml:space="preserve">Each party will conduct its respective business activities in full compliance with all laws.  Without limiting the foregoing, each party will:  </w:t>
      </w:r>
    </w:p>
    <w:p w14:paraId="77A4BA70" w14:textId="77777777" w:rsidR="00571840" w:rsidRDefault="00B927C3">
      <w:pPr>
        <w:numPr>
          <w:ilvl w:val="1"/>
          <w:numId w:val="7"/>
        </w:numPr>
        <w:ind w:hanging="360"/>
      </w:pPr>
      <w:r>
        <w:t>comply with (</w:t>
      </w:r>
      <w:proofErr w:type="spellStart"/>
      <w:r>
        <w:t>i</w:t>
      </w:r>
      <w:proofErr w:type="spellEnd"/>
      <w:r>
        <w:t xml:space="preserve">) laws that apply to the other party’s materials or to the use, transfer, import, export, or re-export of any Products licensed or distributed under an Agreement (including the U.S.  Export Administration Regulations and the International Traffic in Arms Regulations); (ii) any end-user, end-use, and destination restrictions of the U.S.  and other governments; and (iii) the guidelines related to exporting </w:t>
      </w:r>
      <w:r w:rsidR="0093493D">
        <w:t>Fenix Alliance</w:t>
      </w:r>
      <w:r>
        <w:t xml:space="preserve"> Products at:  </w:t>
      </w:r>
      <w:r>
        <w:rPr>
          <w:u w:val="single" w:color="000000"/>
        </w:rPr>
        <w:t>http://www.</w:t>
      </w:r>
      <w:r w:rsidR="007C7B8A">
        <w:rPr>
          <w:u w:val="single" w:color="000000"/>
        </w:rPr>
        <w:t>fenix-alliance.com</w:t>
      </w:r>
      <w:r>
        <w:rPr>
          <w:u w:val="single" w:color="000000"/>
        </w:rPr>
        <w:t>/enus/exporting</w:t>
      </w:r>
      <w:r>
        <w:t xml:space="preserve">.  </w:t>
      </w:r>
    </w:p>
    <w:p w14:paraId="0591508E" w14:textId="77777777" w:rsidR="00571840" w:rsidRDefault="00B927C3">
      <w:pPr>
        <w:numPr>
          <w:ilvl w:val="1"/>
          <w:numId w:val="7"/>
        </w:numPr>
        <w:ind w:hanging="360"/>
      </w:pPr>
      <w:r>
        <w:t xml:space="preserve">comply with all laws (and pay the related fees and taxes that it owes) that govern environmental protection, including laws related to use, import, collection, treatment, recovery, recycling, disposal, and reuse of Products (including packaging);  </w:t>
      </w:r>
    </w:p>
    <w:p w14:paraId="32CC006C" w14:textId="77777777" w:rsidR="00571840" w:rsidRDefault="00B927C3">
      <w:pPr>
        <w:numPr>
          <w:ilvl w:val="1"/>
          <w:numId w:val="7"/>
        </w:numPr>
        <w:ind w:hanging="360"/>
      </w:pPr>
      <w:r>
        <w:t xml:space="preserve">comply with laws that govern the rights to and protection of the other party’s copyrights, Marks, patents, trade secrets, and other forms of intellectual property;   </w:t>
      </w:r>
    </w:p>
    <w:p w14:paraId="573908D9" w14:textId="77777777" w:rsidR="00571840" w:rsidRDefault="00B927C3">
      <w:pPr>
        <w:numPr>
          <w:ilvl w:val="1"/>
          <w:numId w:val="7"/>
        </w:numPr>
        <w:ind w:hanging="360"/>
      </w:pPr>
      <w:r>
        <w:t xml:space="preserve">comply with laws that govern labor practices, human rights, and health and safety; and </w:t>
      </w:r>
    </w:p>
    <w:p w14:paraId="42154FF6" w14:textId="77777777" w:rsidR="00571840" w:rsidRDefault="00B927C3">
      <w:pPr>
        <w:numPr>
          <w:ilvl w:val="1"/>
          <w:numId w:val="7"/>
        </w:numPr>
        <w:ind w:hanging="360"/>
      </w:pPr>
      <w:r>
        <w:t xml:space="preserve">obtain any required local government approvals, each at its own expense. </w:t>
      </w:r>
    </w:p>
    <w:p w14:paraId="46A9761F" w14:textId="77777777" w:rsidR="00571840" w:rsidRDefault="00B927C3">
      <w:pPr>
        <w:numPr>
          <w:ilvl w:val="0"/>
          <w:numId w:val="7"/>
        </w:numPr>
        <w:spacing w:after="235"/>
        <w:ind w:hanging="360"/>
      </w:pPr>
      <w:r>
        <w:t xml:space="preserve">Each party will conduct its respective business activities with integrity, and in full compliance with all laws relating to business conduct.  Each party acknowledges that a failure to comply with the requirements and obligations contained in this section is a breach of the Agreement and may result in a termination of it.  Without limiting the foregoing, each party will:  </w:t>
      </w:r>
    </w:p>
    <w:p w14:paraId="6E25505C" w14:textId="77777777" w:rsidR="00571840" w:rsidRDefault="00B927C3">
      <w:pPr>
        <w:numPr>
          <w:ilvl w:val="1"/>
          <w:numId w:val="7"/>
        </w:numPr>
        <w:ind w:hanging="360"/>
      </w:pPr>
      <w:r>
        <w:t xml:space="preserve">comply with anti-corruption laws prohibiting bribery, corruption, inaccurate books and records, inadequate internal controls, and money-laundering;   </w:t>
      </w:r>
    </w:p>
    <w:p w14:paraId="2888D61B" w14:textId="77777777" w:rsidR="00571840" w:rsidRDefault="00B927C3">
      <w:pPr>
        <w:numPr>
          <w:ilvl w:val="1"/>
          <w:numId w:val="7"/>
        </w:numPr>
        <w:ind w:hanging="360"/>
      </w:pPr>
      <w:r>
        <w:t xml:space="preserve">ensure that none of its representatives directly or indirectly pays or offers to pay anything of value (including gifts, travel, hospitality, charitable donations, or employment) to any candidate for political office or to any official or employee (including elected officials or any private person acting on behalf of a public sector entity) of any governmental entity, public international organization, or political party, to improperly influence any act or decision of such person for the purpose of promoting the business interests of either party;   </w:t>
      </w:r>
    </w:p>
    <w:p w14:paraId="248A86E1" w14:textId="77777777" w:rsidR="00571840" w:rsidRDefault="00B927C3">
      <w:pPr>
        <w:numPr>
          <w:ilvl w:val="1"/>
          <w:numId w:val="7"/>
        </w:numPr>
        <w:ind w:hanging="360"/>
      </w:pPr>
      <w:r>
        <w:t xml:space="preserve">refrain from making any unauthorized representation or commitment on behalf of the other party;  </w:t>
      </w:r>
    </w:p>
    <w:p w14:paraId="71651AA3" w14:textId="77777777" w:rsidR="00571840" w:rsidRDefault="00B927C3">
      <w:pPr>
        <w:numPr>
          <w:ilvl w:val="1"/>
          <w:numId w:val="7"/>
        </w:numPr>
        <w:ind w:hanging="360"/>
      </w:pPr>
      <w:r>
        <w:lastRenderedPageBreak/>
        <w:t xml:space="preserve">ensure that all communications to its customers and to the other party are complete, truthful, accurate, not misleading, and include any required disclosures; and    </w:t>
      </w:r>
    </w:p>
    <w:p w14:paraId="4EBBC232" w14:textId="77777777" w:rsidR="00571840" w:rsidRDefault="00B927C3">
      <w:pPr>
        <w:numPr>
          <w:ilvl w:val="1"/>
          <w:numId w:val="7"/>
        </w:numPr>
        <w:ind w:hanging="360"/>
      </w:pPr>
      <w:r>
        <w:t xml:space="preserve">refrain from retaliating against anyone who has, in good faith, reported a possible violation of the foregoing commitments.  </w:t>
      </w:r>
    </w:p>
    <w:p w14:paraId="1415D00F" w14:textId="77777777" w:rsidR="00571840" w:rsidRDefault="00B927C3">
      <w:pPr>
        <w:pStyle w:val="Heading2"/>
        <w:ind w:left="370"/>
      </w:pPr>
      <w:r>
        <w:t>c.</w:t>
      </w:r>
      <w:r>
        <w:rPr>
          <w:rFonts w:ascii="Arial" w:eastAsia="Arial" w:hAnsi="Arial" w:cs="Arial"/>
        </w:rPr>
        <w:t xml:space="preserve"> </w:t>
      </w:r>
      <w:r>
        <w:t xml:space="preserve">Business Conduct Training  </w:t>
      </w:r>
    </w:p>
    <w:p w14:paraId="23DB8566" w14:textId="77777777" w:rsidR="00571840" w:rsidRDefault="0093493D">
      <w:pPr>
        <w:numPr>
          <w:ilvl w:val="0"/>
          <w:numId w:val="8"/>
        </w:numPr>
        <w:ind w:hanging="360"/>
      </w:pPr>
      <w:r>
        <w:t>Fenix Alliance</w:t>
      </w:r>
      <w:r w:rsidR="00B927C3">
        <w:t xml:space="preserve"> will provide regular annual training on anti-corruption laws and business integrity principles to its employees who resell, distribute, or market </w:t>
      </w:r>
      <w:r>
        <w:t>Fenix Alliance</w:t>
      </w:r>
      <w:r w:rsidR="00B927C3">
        <w:t xml:space="preserve"> Products.  For additional information on </w:t>
      </w:r>
      <w:r>
        <w:t>Fenix Alliance</w:t>
      </w:r>
      <w:r w:rsidR="00B927C3">
        <w:t xml:space="preserve">’s commitment to anti-corruption, see </w:t>
      </w:r>
      <w:r w:rsidR="00B927C3">
        <w:rPr>
          <w:u w:val="single" w:color="000000"/>
        </w:rPr>
        <w:t>http://www.</w:t>
      </w:r>
      <w:r w:rsidR="007C7B8A">
        <w:rPr>
          <w:u w:val="single" w:color="000000"/>
        </w:rPr>
        <w:t>fenix-alliance.com</w:t>
      </w:r>
      <w:r w:rsidR="00B927C3">
        <w:rPr>
          <w:u w:val="single" w:color="000000"/>
        </w:rPr>
        <w:t>/enus/legal/Compliance/anticorruption/default.aspx</w:t>
      </w:r>
      <w:r w:rsidR="00B927C3">
        <w:t xml:space="preserve"> and </w:t>
      </w:r>
      <w:r w:rsidR="00B927C3">
        <w:rPr>
          <w:u w:val="single" w:color="000000"/>
        </w:rPr>
        <w:t>https://www.</w:t>
      </w:r>
      <w:r w:rsidR="007C7B8A">
        <w:rPr>
          <w:u w:val="single" w:color="000000"/>
        </w:rPr>
        <w:t>fenix-alliance.com</w:t>
      </w:r>
      <w:r w:rsidR="00B927C3">
        <w:rPr>
          <w:u w:val="single" w:color="000000"/>
        </w:rPr>
        <w:t>/enus/legal/compliance/anticorruption/reppolicy.aspx</w:t>
      </w:r>
      <w:r w:rsidR="00B927C3">
        <w:t xml:space="preserve">.    </w:t>
      </w:r>
    </w:p>
    <w:p w14:paraId="37996B81" w14:textId="77777777" w:rsidR="00571840" w:rsidRDefault="00B927C3">
      <w:pPr>
        <w:numPr>
          <w:ilvl w:val="0"/>
          <w:numId w:val="8"/>
        </w:numPr>
        <w:ind w:hanging="360"/>
      </w:pPr>
      <w:r>
        <w:t xml:space="preserve">For Company employees in a position to influence the pricing, terms, or conditions under which </w:t>
      </w:r>
      <w:r w:rsidR="0093493D">
        <w:t>Fenix Alliance</w:t>
      </w:r>
      <w:r>
        <w:t xml:space="preserve"> Products are distributed, resold, or marketed (but excluding employees engaged solely in distribution of </w:t>
      </w:r>
      <w:r w:rsidR="0093493D">
        <w:t>Fenix Alliance</w:t>
      </w:r>
      <w:r>
        <w:t xml:space="preserve"> Products to end consumers), Company will:   </w:t>
      </w:r>
    </w:p>
    <w:p w14:paraId="13BDF85A" w14:textId="77777777" w:rsidR="00571840" w:rsidRDefault="00B927C3">
      <w:pPr>
        <w:numPr>
          <w:ilvl w:val="1"/>
          <w:numId w:val="8"/>
        </w:numPr>
        <w:spacing w:after="232"/>
        <w:ind w:hanging="360"/>
      </w:pPr>
      <w:r>
        <w:t xml:space="preserve">provide regular training on anti-corruption laws and business integrity principles to its employees who use, resell, distribute, or market </w:t>
      </w:r>
      <w:r w:rsidR="0093493D">
        <w:t>Fenix Alliance</w:t>
      </w:r>
      <w:r>
        <w:t xml:space="preserve"> Products; or  </w:t>
      </w:r>
    </w:p>
    <w:p w14:paraId="79ED48EB" w14:textId="77777777" w:rsidR="00571840" w:rsidRDefault="00B927C3" w:rsidP="000F4237">
      <w:pPr>
        <w:numPr>
          <w:ilvl w:val="1"/>
          <w:numId w:val="8"/>
        </w:numPr>
        <w:spacing w:after="0"/>
        <w:ind w:hanging="360"/>
        <w:jc w:val="left"/>
      </w:pPr>
      <w:r>
        <w:t>ensure (and certify upon request) that such employees regularly complete online anti-</w:t>
      </w:r>
    </w:p>
    <w:p w14:paraId="1F13505E" w14:textId="118A1A2A" w:rsidR="00571840" w:rsidRDefault="00B927C3" w:rsidP="000F4237">
      <w:pPr>
        <w:spacing w:after="235"/>
        <w:ind w:left="1440" w:firstLine="0"/>
        <w:jc w:val="left"/>
      </w:pPr>
      <w:r>
        <w:t>corruption</w:t>
      </w:r>
      <w:r w:rsidR="000F4237">
        <w:t xml:space="preserve"> </w:t>
      </w:r>
      <w:r>
        <w:t>training made</w:t>
      </w:r>
      <w:r w:rsidR="000F4237">
        <w:t xml:space="preserve"> </w:t>
      </w:r>
      <w:r>
        <w:t>available</w:t>
      </w:r>
      <w:r w:rsidR="000F4237">
        <w:t xml:space="preserve"> </w:t>
      </w:r>
      <w:r>
        <w:t>free</w:t>
      </w:r>
      <w:r w:rsidR="000F4237">
        <w:t xml:space="preserve"> </w:t>
      </w:r>
      <w:r>
        <w:t>of charge</w:t>
      </w:r>
      <w:r w:rsidR="000F4237">
        <w:t xml:space="preserve"> </w:t>
      </w:r>
      <w:r>
        <w:t xml:space="preserve">by </w:t>
      </w:r>
      <w:r w:rsidR="0093493D">
        <w:t>Fenix Alliance</w:t>
      </w:r>
      <w:r w:rsidR="000F4237">
        <w:t xml:space="preserve"> </w:t>
      </w:r>
      <w:r>
        <w:t xml:space="preserve">at </w:t>
      </w:r>
      <w:hyperlink r:id="rId20" w:history="1">
        <w:r w:rsidR="00594E00" w:rsidRPr="000A7304">
          <w:rPr>
            <w:rStyle w:val="Hyperlink"/>
          </w:rPr>
          <w:t>https://partners.fenix-alliance.com</w:t>
        </w:r>
      </w:hyperlink>
      <w:r w:rsidR="00594E00">
        <w:rPr>
          <w:u w:val="single" w:color="000000"/>
        </w:rPr>
        <w:t xml:space="preserve"> </w:t>
      </w:r>
      <w:r>
        <w:t xml:space="preserve">.  </w:t>
      </w:r>
    </w:p>
    <w:p w14:paraId="42FED654" w14:textId="77777777" w:rsidR="00571840" w:rsidRDefault="00B927C3">
      <w:pPr>
        <w:numPr>
          <w:ilvl w:val="1"/>
          <w:numId w:val="8"/>
        </w:numPr>
        <w:spacing w:after="235"/>
        <w:ind w:hanging="360"/>
      </w:pPr>
      <w:r>
        <w:t xml:space="preserve">Company will comply with the </w:t>
      </w:r>
      <w:r w:rsidR="0093493D">
        <w:t>Fenix Alliance</w:t>
      </w:r>
      <w:r>
        <w:t xml:space="preserve"> Partner Code of Conduct located at </w:t>
      </w:r>
      <w:r>
        <w:rPr>
          <w:u w:val="single" w:color="000000"/>
        </w:rPr>
        <w:t>https://assets.</w:t>
      </w:r>
      <w:r w:rsidR="007C7B8A">
        <w:rPr>
          <w:u w:val="single" w:color="000000"/>
        </w:rPr>
        <w:t>fenix-alliance.com</w:t>
      </w:r>
      <w:r>
        <w:rPr>
          <w:u w:val="single" w:color="000000"/>
        </w:rPr>
        <w:t>/</w:t>
      </w:r>
      <w:r w:rsidR="0093493D">
        <w:rPr>
          <w:u w:val="single" w:color="000000"/>
        </w:rPr>
        <w:t>Fenix Alliance</w:t>
      </w:r>
      <w:r>
        <w:rPr>
          <w:u w:val="single" w:color="000000"/>
        </w:rPr>
        <w:t>-Partner-Code-of-Conduct.pdf</w:t>
      </w:r>
      <w:r>
        <w:t xml:space="preserve">.  </w:t>
      </w:r>
    </w:p>
    <w:p w14:paraId="4571267D" w14:textId="77777777" w:rsidR="00571840" w:rsidRDefault="00B927C3">
      <w:pPr>
        <w:numPr>
          <w:ilvl w:val="0"/>
          <w:numId w:val="9"/>
        </w:numPr>
        <w:spacing w:after="1"/>
        <w:ind w:hanging="360"/>
      </w:pPr>
      <w:r>
        <w:t xml:space="preserve">If either party has a good-faith reason to believe that the other party is in violation of anticorruption laws in connection with business or sales activity relating to an Agreement, it will notify the other party with a general description of the nature of the concern, and the reason for its belief.  Company may contact </w:t>
      </w:r>
      <w:r w:rsidR="0093493D">
        <w:t>Fenix Alliance</w:t>
      </w:r>
      <w:r>
        <w:t>’s Anti-Corruption Alias (</w:t>
      </w:r>
      <w:r>
        <w:rPr>
          <w:u w:val="single" w:color="000000"/>
        </w:rPr>
        <w:t>ANTICPT@</w:t>
      </w:r>
      <w:r w:rsidR="007C7B8A">
        <w:rPr>
          <w:u w:val="single" w:color="000000"/>
        </w:rPr>
        <w:t>fenix-alliance.com</w:t>
      </w:r>
      <w:r>
        <w:t xml:space="preserve">) or the </w:t>
      </w:r>
    </w:p>
    <w:p w14:paraId="20DE5850" w14:textId="77777777" w:rsidR="00571840" w:rsidRDefault="00B927C3">
      <w:pPr>
        <w:spacing w:after="234" w:line="260" w:lineRule="auto"/>
        <w:ind w:left="720" w:firstLine="0"/>
        <w:jc w:val="left"/>
      </w:pPr>
      <w:r>
        <w:t>Business Conduct Alias (</w:t>
      </w:r>
      <w:r>
        <w:rPr>
          <w:u w:val="single" w:color="000000"/>
        </w:rPr>
        <w:t>BUSCOND@</w:t>
      </w:r>
      <w:r w:rsidR="007C7B8A">
        <w:rPr>
          <w:u w:val="single" w:color="000000"/>
        </w:rPr>
        <w:t>fenix-alliance.com</w:t>
      </w:r>
      <w:r>
        <w:t xml:space="preserve">) with questions or requests for further information or guidance.  The parties will confer in good faith on an appropriate and lawful approach to addressing the concern.  </w:t>
      </w:r>
    </w:p>
    <w:p w14:paraId="0CEEB2CF" w14:textId="77777777" w:rsidR="00571840" w:rsidRDefault="00B927C3">
      <w:pPr>
        <w:numPr>
          <w:ilvl w:val="0"/>
          <w:numId w:val="9"/>
        </w:numPr>
        <w:spacing w:after="271"/>
        <w:ind w:hanging="360"/>
      </w:pPr>
      <w:r>
        <w:t xml:space="preserve">During the term of this Agreement and for a minimum of 2 years following termination, you will maintain complete and accurate books, documents, records, papers, and other materials related to your compliance with this Agreement, the Guides, and Additional Terms. </w:t>
      </w:r>
      <w:r w:rsidR="0093493D">
        <w:t>Fenix Alliance</w:t>
      </w:r>
      <w:r>
        <w:t xml:space="preserve"> may conduct audits of your compliance: (1) upon at least 30 days’ notice, except for potential breaches of Sections 5, 6, or 7 which may be initiated upon shorter, reasonable notice; (2) in accordance with your reasonable confidentiality and security procedures; (3) during normal business hours; (4) in a manner that does not interfere unreasonably with your operations; (5) not more than once every 12 months, unless potential violations of this Agreement, the Guides, or Additional Terms support additional audit(s); and (6) at </w:t>
      </w:r>
      <w:r w:rsidR="0093493D">
        <w:t>Fenix Alliance</w:t>
      </w:r>
      <w:r>
        <w:t xml:space="preserve">’s sole costs and expense. Notwithstanding the foregoing, you will reimburse </w:t>
      </w:r>
      <w:r w:rsidR="0093493D">
        <w:t>Fenix Alliance</w:t>
      </w:r>
      <w:r>
        <w:t xml:space="preserve"> for all costs and expenses associated with an audit where </w:t>
      </w:r>
      <w:r w:rsidR="0093493D">
        <w:t>Fenix Alliance</w:t>
      </w:r>
      <w:r>
        <w:t xml:space="preserve"> discovers that you violated anti-corruption laws.  </w:t>
      </w:r>
    </w:p>
    <w:p w14:paraId="3C4E5616" w14:textId="77777777" w:rsidR="00571840" w:rsidRDefault="00B927C3">
      <w:pPr>
        <w:pStyle w:val="Heading2"/>
        <w:ind w:left="9"/>
      </w:pPr>
      <w:r>
        <w:rPr>
          <w:noProof/>
        </w:rPr>
        <w:lastRenderedPageBreak/>
        <w:drawing>
          <wp:inline distT="0" distB="0" distL="0" distR="0" wp14:anchorId="5F260BD9" wp14:editId="51A16337">
            <wp:extent cx="102870" cy="99822"/>
            <wp:effectExtent l="0" t="0" r="0" b="0"/>
            <wp:docPr id="1462" name="Picture 1462"/>
            <wp:cNvGraphicFramePr/>
            <a:graphic xmlns:a="http://schemas.openxmlformats.org/drawingml/2006/main">
              <a:graphicData uri="http://schemas.openxmlformats.org/drawingml/2006/picture">
                <pic:pic xmlns:pic="http://schemas.openxmlformats.org/drawingml/2006/picture">
                  <pic:nvPicPr>
                    <pic:cNvPr id="1462" name="Picture 1462"/>
                    <pic:cNvPicPr/>
                  </pic:nvPicPr>
                  <pic:blipFill>
                    <a:blip r:embed="rId21"/>
                    <a:stretch>
                      <a:fillRect/>
                    </a:stretch>
                  </pic:blipFill>
                  <pic:spPr>
                    <a:xfrm>
                      <a:off x="0" y="0"/>
                      <a:ext cx="102870" cy="99822"/>
                    </a:xfrm>
                    <a:prstGeom prst="rect">
                      <a:avLst/>
                    </a:prstGeom>
                  </pic:spPr>
                </pic:pic>
              </a:graphicData>
            </a:graphic>
          </wp:inline>
        </w:drawing>
      </w:r>
      <w:r>
        <w:rPr>
          <w:rFonts w:ascii="Arial" w:eastAsia="Arial" w:hAnsi="Arial" w:cs="Arial"/>
        </w:rPr>
        <w:t xml:space="preserve"> </w:t>
      </w:r>
      <w:r>
        <w:t xml:space="preserve">Limitation of Liability </w:t>
      </w:r>
    </w:p>
    <w:p w14:paraId="24496E40" w14:textId="77777777" w:rsidR="00571840" w:rsidRDefault="00B927C3">
      <w:pPr>
        <w:numPr>
          <w:ilvl w:val="0"/>
          <w:numId w:val="10"/>
        </w:numPr>
        <w:spacing w:after="235"/>
        <w:ind w:hanging="360"/>
      </w:pPr>
      <w:r>
        <w:t xml:space="preserve">Subject to Section 8.b, to the maximum extent permitted by law, in no event will either party be liable for any direct, indirect, incidental, consequential, punitive, special, or exemplary damages (including, but not limited to, damages for loss of data, revenue, and/or profits) arising out of or that relate in any way to this Agreement. This exclusion will apply regardless of the legal theory upon which any claim for such damages is based, whether you have been advised of the possibility of such damages, whether such damages were reasonably foreseeable, or whether application of the exclusion causes any remedy to fail of its essential purpose.  </w:t>
      </w:r>
    </w:p>
    <w:p w14:paraId="30174213" w14:textId="77777777" w:rsidR="00571840" w:rsidRDefault="00B927C3">
      <w:pPr>
        <w:numPr>
          <w:ilvl w:val="0"/>
          <w:numId w:val="10"/>
        </w:numPr>
        <w:spacing w:after="235"/>
        <w:ind w:hanging="360"/>
      </w:pPr>
      <w:r>
        <w:t xml:space="preserve">The limitations in Section 8.a do not apply to liability arising out of:  </w:t>
      </w:r>
    </w:p>
    <w:p w14:paraId="074EAEEB" w14:textId="77777777" w:rsidR="00571840" w:rsidRDefault="00B927C3">
      <w:pPr>
        <w:numPr>
          <w:ilvl w:val="1"/>
          <w:numId w:val="10"/>
        </w:numPr>
        <w:ind w:hanging="360"/>
      </w:pPr>
      <w:r>
        <w:t xml:space="preserve">Section 5 (Privacy and Data Protection); </w:t>
      </w:r>
    </w:p>
    <w:p w14:paraId="709922F1" w14:textId="77777777" w:rsidR="00571840" w:rsidRDefault="00B927C3">
      <w:pPr>
        <w:numPr>
          <w:ilvl w:val="1"/>
          <w:numId w:val="10"/>
        </w:numPr>
        <w:ind w:hanging="360"/>
      </w:pPr>
      <w:r>
        <w:t xml:space="preserve">Sections 6 (Mutual Confidentiality) or 9 (Indemnification);  </w:t>
      </w:r>
    </w:p>
    <w:p w14:paraId="3DDE72E2" w14:textId="77777777" w:rsidR="00571840" w:rsidRDefault="00B927C3">
      <w:pPr>
        <w:numPr>
          <w:ilvl w:val="1"/>
          <w:numId w:val="10"/>
        </w:numPr>
        <w:ind w:hanging="360"/>
      </w:pPr>
      <w:r>
        <w:t xml:space="preserve">claims for non-payment, fraud, gross negligence or violations of intellectual property rights; or  </w:t>
      </w:r>
    </w:p>
    <w:p w14:paraId="19EA2158" w14:textId="77777777" w:rsidR="00571840" w:rsidRDefault="00B927C3">
      <w:pPr>
        <w:numPr>
          <w:ilvl w:val="1"/>
          <w:numId w:val="10"/>
        </w:numPr>
        <w:ind w:hanging="360"/>
      </w:pPr>
      <w:r>
        <w:t xml:space="preserve">a separate agreement with </w:t>
      </w:r>
      <w:r w:rsidR="0093493D">
        <w:t>Fenix Alliance</w:t>
      </w:r>
      <w:r>
        <w:t xml:space="preserve"> for the sale or distribution of </w:t>
      </w:r>
      <w:r w:rsidR="0093493D">
        <w:t>Fenix Alliance</w:t>
      </w:r>
      <w:r>
        <w:t xml:space="preserve"> Products. </w:t>
      </w:r>
    </w:p>
    <w:p w14:paraId="460DED42" w14:textId="77777777" w:rsidR="00571840" w:rsidRDefault="00B927C3">
      <w:pPr>
        <w:numPr>
          <w:ilvl w:val="0"/>
          <w:numId w:val="10"/>
        </w:numPr>
        <w:spacing w:after="271" w:line="258" w:lineRule="auto"/>
        <w:ind w:hanging="360"/>
      </w:pPr>
      <w:r>
        <w:t xml:space="preserve">Each party’s liability for loss or damage of any kind (including loss or damage caused by negligence) to the other is reduced to the extent that the other’s agents caused or contributed to that loss or damage. </w:t>
      </w:r>
    </w:p>
    <w:p w14:paraId="1F53D0F9" w14:textId="77777777" w:rsidR="00571840" w:rsidRDefault="00B927C3">
      <w:pPr>
        <w:pStyle w:val="Heading2"/>
        <w:ind w:left="9"/>
      </w:pPr>
      <w:r>
        <w:rPr>
          <w:noProof/>
        </w:rPr>
        <w:drawing>
          <wp:inline distT="0" distB="0" distL="0" distR="0" wp14:anchorId="37681796" wp14:editId="2F5DB0D5">
            <wp:extent cx="102870" cy="99822"/>
            <wp:effectExtent l="0" t="0" r="0" b="0"/>
            <wp:docPr id="1567" name="Picture 1567"/>
            <wp:cNvGraphicFramePr/>
            <a:graphic xmlns:a="http://schemas.openxmlformats.org/drawingml/2006/main">
              <a:graphicData uri="http://schemas.openxmlformats.org/drawingml/2006/picture">
                <pic:pic xmlns:pic="http://schemas.openxmlformats.org/drawingml/2006/picture">
                  <pic:nvPicPr>
                    <pic:cNvPr id="1567" name="Picture 1567"/>
                    <pic:cNvPicPr/>
                  </pic:nvPicPr>
                  <pic:blipFill>
                    <a:blip r:embed="rId22"/>
                    <a:stretch>
                      <a:fillRect/>
                    </a:stretch>
                  </pic:blipFill>
                  <pic:spPr>
                    <a:xfrm>
                      <a:off x="0" y="0"/>
                      <a:ext cx="102870" cy="99822"/>
                    </a:xfrm>
                    <a:prstGeom prst="rect">
                      <a:avLst/>
                    </a:prstGeom>
                  </pic:spPr>
                </pic:pic>
              </a:graphicData>
            </a:graphic>
          </wp:inline>
        </w:drawing>
      </w:r>
      <w:r>
        <w:rPr>
          <w:rFonts w:ascii="Arial" w:eastAsia="Arial" w:hAnsi="Arial" w:cs="Arial"/>
        </w:rPr>
        <w:t xml:space="preserve"> </w:t>
      </w:r>
      <w:r>
        <w:t xml:space="preserve">Indemnification </w:t>
      </w:r>
    </w:p>
    <w:p w14:paraId="6D84ABAF" w14:textId="77777777" w:rsidR="00571840" w:rsidRDefault="00B927C3">
      <w:pPr>
        <w:numPr>
          <w:ilvl w:val="0"/>
          <w:numId w:val="11"/>
        </w:numPr>
        <w:spacing w:after="235"/>
        <w:ind w:hanging="360"/>
      </w:pPr>
      <w:r>
        <w:t xml:space="preserve">This Section 9 does not apply to any Third-Party Claims (defined below) arising under a separate agreement with </w:t>
      </w:r>
      <w:r w:rsidR="0093493D">
        <w:t>Fenix Alliance</w:t>
      </w:r>
      <w:r>
        <w:t xml:space="preserve"> for the sale or distribution of </w:t>
      </w:r>
      <w:r w:rsidR="0093493D">
        <w:t>Fenix Alliance</w:t>
      </w:r>
      <w:r>
        <w:t xml:space="preserve"> Products. </w:t>
      </w:r>
    </w:p>
    <w:p w14:paraId="15BB4081" w14:textId="77777777" w:rsidR="00571840" w:rsidRDefault="00B927C3">
      <w:pPr>
        <w:numPr>
          <w:ilvl w:val="0"/>
          <w:numId w:val="11"/>
        </w:numPr>
        <w:spacing w:after="272"/>
        <w:ind w:hanging="360"/>
      </w:pPr>
      <w:r>
        <w:t>Each Party will defend the other against any Third-Party Claims. “</w:t>
      </w:r>
      <w:r>
        <w:rPr>
          <w:b/>
        </w:rPr>
        <w:t>Third-Party Claim</w:t>
      </w:r>
      <w:r>
        <w:t xml:space="preserve">” means any third- party claims or allegations against the indemnified Party that arise out of or are connected with any default or breach or alleged default or breach of this Agreement by the indemnifying Party or any other act or omission by you that constitutes gross negligence or willful misconduct. If there is an adverse final judgment (or settlement to which the indemnified Party consents) resulting from any Third-Party Claims, the indemnifying Party will pay it for the indemnified Party. The indemnified Party will promptly notify the indemnifying Party in writing of any Third-Party Claim, specify the nature of the Third-Party Claim and the relief the third party seeks. The indemnified Party will give the indemnifying Party reasonable assistance in defending the Third-Party Claim. At indemnified Party’s option and cost, it may participate in the selection of counsel, defense and settlement of any Third-Party Claims covered by this section. If the indemnified decides to participate in the defense of a Third-Party Claim, the indemnifying Party and the indemnified Party will work together in good faith to reach decisions about defending the Third-Party Claim. the indemnifying Party must have the indemnified Party’s written consent before settling any Third-Party Claim, which consent the indemnified Party will not unreasonably withhold. </w:t>
      </w:r>
    </w:p>
    <w:p w14:paraId="4BA645F1" w14:textId="77777777" w:rsidR="00571840" w:rsidRDefault="00B927C3">
      <w:pPr>
        <w:pStyle w:val="Heading2"/>
        <w:ind w:left="9"/>
      </w:pPr>
      <w:r>
        <w:rPr>
          <w:noProof/>
        </w:rPr>
        <w:lastRenderedPageBreak/>
        <w:drawing>
          <wp:inline distT="0" distB="0" distL="0" distR="0" wp14:anchorId="38559EF7" wp14:editId="47C03D6D">
            <wp:extent cx="168402" cy="99822"/>
            <wp:effectExtent l="0" t="0" r="0" b="0"/>
            <wp:docPr id="1731" name="Picture 1731"/>
            <wp:cNvGraphicFramePr/>
            <a:graphic xmlns:a="http://schemas.openxmlformats.org/drawingml/2006/main">
              <a:graphicData uri="http://schemas.openxmlformats.org/drawingml/2006/picture">
                <pic:pic xmlns:pic="http://schemas.openxmlformats.org/drawingml/2006/picture">
                  <pic:nvPicPr>
                    <pic:cNvPr id="1731" name="Picture 1731"/>
                    <pic:cNvPicPr/>
                  </pic:nvPicPr>
                  <pic:blipFill>
                    <a:blip r:embed="rId23"/>
                    <a:stretch>
                      <a:fillRect/>
                    </a:stretch>
                  </pic:blipFill>
                  <pic:spPr>
                    <a:xfrm>
                      <a:off x="0" y="0"/>
                      <a:ext cx="168402" cy="99822"/>
                    </a:xfrm>
                    <a:prstGeom prst="rect">
                      <a:avLst/>
                    </a:prstGeom>
                  </pic:spPr>
                </pic:pic>
              </a:graphicData>
            </a:graphic>
          </wp:inline>
        </w:drawing>
      </w:r>
      <w:r>
        <w:rPr>
          <w:rFonts w:ascii="Arial" w:eastAsia="Arial" w:hAnsi="Arial" w:cs="Arial"/>
        </w:rPr>
        <w:t xml:space="preserve"> </w:t>
      </w:r>
      <w:r>
        <w:t xml:space="preserve">Miscellaneous </w:t>
      </w:r>
    </w:p>
    <w:p w14:paraId="44D6076A" w14:textId="77777777" w:rsidR="00571840" w:rsidRDefault="0093493D">
      <w:pPr>
        <w:numPr>
          <w:ilvl w:val="0"/>
          <w:numId w:val="12"/>
        </w:numPr>
        <w:spacing w:after="235"/>
        <w:ind w:hanging="360"/>
      </w:pPr>
      <w:r>
        <w:t>Fenix Alliance</w:t>
      </w:r>
      <w:r w:rsidR="00B927C3">
        <w:t xml:space="preserve"> may communicate with you via the email address, phone number, or physical address we have on record for you or through the Partner Portal. Notices to </w:t>
      </w:r>
      <w:r>
        <w:t>Fenix Alliance</w:t>
      </w:r>
      <w:r w:rsidR="00B927C3">
        <w:t xml:space="preserve"> must be sent to the applicable </w:t>
      </w:r>
      <w:r>
        <w:t>Fenix Alliance</w:t>
      </w:r>
      <w:r w:rsidR="00B927C3">
        <w:t xml:space="preserve"> entity identified in Section 11, which may be updated from time to time. </w:t>
      </w:r>
    </w:p>
    <w:p w14:paraId="61E757AE" w14:textId="77777777" w:rsidR="00571840" w:rsidRDefault="00B927C3">
      <w:pPr>
        <w:numPr>
          <w:ilvl w:val="0"/>
          <w:numId w:val="12"/>
        </w:numPr>
        <w:spacing w:after="235"/>
        <w:ind w:hanging="360"/>
      </w:pPr>
      <w:r>
        <w:t xml:space="preserve">Nothing in this Agreement restricts a party from: (1) working with and using third-party technologies; or (2) independently developing or acquiring new products or services, improving existing products or services, or marketing any new, improved, or existing products or services.  </w:t>
      </w:r>
    </w:p>
    <w:p w14:paraId="031B96D1" w14:textId="77777777" w:rsidR="00571840" w:rsidRDefault="00B927C3">
      <w:pPr>
        <w:numPr>
          <w:ilvl w:val="0"/>
          <w:numId w:val="12"/>
        </w:numPr>
        <w:spacing w:after="235"/>
        <w:ind w:hanging="360"/>
      </w:pPr>
      <w:r>
        <w:t xml:space="preserve">Any use of the term “partner” is for reference purposes only. The parties are independent contractors and do not intend to create an employer-employee relationship, partnership, joint venture, agency relationship, or fiduciary relationship. </w:t>
      </w:r>
    </w:p>
    <w:p w14:paraId="547572EB" w14:textId="77777777" w:rsidR="00571840" w:rsidRDefault="00B927C3">
      <w:pPr>
        <w:numPr>
          <w:ilvl w:val="0"/>
          <w:numId w:val="12"/>
        </w:numPr>
        <w:spacing w:after="235"/>
        <w:ind w:hanging="360"/>
      </w:pPr>
      <w:r>
        <w:t xml:space="preserve">Each party will bear its own costs of performance under this Agreement, unless otherwise specified. </w:t>
      </w:r>
    </w:p>
    <w:p w14:paraId="38C6748B" w14:textId="77777777" w:rsidR="00571840" w:rsidRDefault="00B927C3">
      <w:pPr>
        <w:numPr>
          <w:ilvl w:val="0"/>
          <w:numId w:val="12"/>
        </w:numPr>
        <w:spacing w:after="235"/>
        <w:ind w:hanging="360"/>
      </w:pPr>
      <w:r>
        <w:t xml:space="preserve">We may modify this Agreement, the </w:t>
      </w:r>
      <w:r w:rsidR="0093493D">
        <w:t>Fenix Alliance</w:t>
      </w:r>
      <w:r>
        <w:t xml:space="preserve"> Materials, a Program, the Anti-Corruption Policy for </w:t>
      </w:r>
      <w:r w:rsidR="0093493D">
        <w:t>Fenix Alliance</w:t>
      </w:r>
      <w:r>
        <w:t xml:space="preserve"> Representatives, and any other aspect of the Partner Portal or the </w:t>
      </w:r>
      <w:r w:rsidR="000F4237">
        <w:t>ATA Partner Network</w:t>
      </w:r>
      <w:r>
        <w:t xml:space="preserve">. We will endeavor to provide you with 30 days’ advance notice of any changes before they become effective. If you do not agree to any such changes, you must discontinue or terminate your participation in the </w:t>
      </w:r>
      <w:r w:rsidR="000F4237">
        <w:t>ATA Partner Network</w:t>
      </w:r>
      <w:r>
        <w:t xml:space="preserve"> or the applicable </w:t>
      </w:r>
      <w:r w:rsidR="000F4237">
        <w:t>ATA Partner Network</w:t>
      </w:r>
      <w:r>
        <w:t xml:space="preserve"> Program. Your continued participation will be deemed to be your acceptance of the changes. </w:t>
      </w:r>
    </w:p>
    <w:p w14:paraId="3071DACE" w14:textId="77777777" w:rsidR="00571840" w:rsidRDefault="00B927C3">
      <w:pPr>
        <w:numPr>
          <w:ilvl w:val="0"/>
          <w:numId w:val="12"/>
        </w:numPr>
        <w:spacing w:after="236"/>
        <w:ind w:hanging="360"/>
      </w:pPr>
      <w:r>
        <w:t xml:space="preserve">The choice of jurisdiction and venue set forth in Section 11 does not prevent you or </w:t>
      </w:r>
      <w:r w:rsidR="0093493D">
        <w:t>Fenix Alliance</w:t>
      </w:r>
      <w:r>
        <w:t xml:space="preserve"> from seeking injunctive relief for a violation of intellectual property rights, confidentiality obligations or enforcement of recognition of any award or order, which may be sought in any appropriate jurisdiction. If a party commences litigation under this Agreement, the substantially prevailing party will be entitled to recover its reasonable attorneys’ fees, costs and other expenses. </w:t>
      </w:r>
    </w:p>
    <w:p w14:paraId="1AE3D04E" w14:textId="77777777" w:rsidR="00571840" w:rsidRDefault="00B927C3">
      <w:pPr>
        <w:numPr>
          <w:ilvl w:val="0"/>
          <w:numId w:val="12"/>
        </w:numPr>
        <w:spacing w:after="235"/>
        <w:ind w:hanging="360"/>
      </w:pPr>
      <w:r>
        <w:t xml:space="preserve">The 1980 United Nations Convention on Contracts for the International Sale of Goods does not govern this Agreement. </w:t>
      </w:r>
    </w:p>
    <w:p w14:paraId="30BAEE0B" w14:textId="77777777" w:rsidR="00571840" w:rsidRDefault="00B927C3">
      <w:pPr>
        <w:numPr>
          <w:ilvl w:val="0"/>
          <w:numId w:val="12"/>
        </w:numPr>
        <w:spacing w:after="235"/>
        <w:ind w:hanging="360"/>
      </w:pPr>
      <w:r>
        <w:t xml:space="preserve">A party’s delay or failure to exercise any right or remedy under this Agreement will not result in a waiver of that or any other right or remedy available. No waiver will be effective unless made in writing and signed by an authorized representative of the waiving party. </w:t>
      </w:r>
    </w:p>
    <w:p w14:paraId="0E4AEE32" w14:textId="77777777" w:rsidR="00571840" w:rsidRDefault="00B927C3">
      <w:pPr>
        <w:numPr>
          <w:ilvl w:val="0"/>
          <w:numId w:val="12"/>
        </w:numPr>
        <w:ind w:hanging="360"/>
      </w:pPr>
      <w:r>
        <w:t xml:space="preserve">If any provision of this Agreement is illegal, invalid or unenforceable, the remaining provisions will remain in full force and effect, and the parties will amend this Agreement to give effect to the stricken clause to the maximum extent possible. </w:t>
      </w:r>
    </w:p>
    <w:p w14:paraId="6BA0B19A" w14:textId="77777777" w:rsidR="00571840" w:rsidRDefault="00B927C3">
      <w:pPr>
        <w:numPr>
          <w:ilvl w:val="0"/>
          <w:numId w:val="12"/>
        </w:numPr>
        <w:spacing w:after="235"/>
        <w:ind w:hanging="360"/>
      </w:pPr>
      <w:r>
        <w:t xml:space="preserve">Except as otherwise expressly permitted in this Agreement, an amendment or modification of a provision of this Agreement will only be effective if signed in writing by authorized representatives of both parties.  </w:t>
      </w:r>
    </w:p>
    <w:p w14:paraId="0ECA5F0E" w14:textId="77777777" w:rsidR="00571840" w:rsidRDefault="00B927C3">
      <w:pPr>
        <w:numPr>
          <w:ilvl w:val="0"/>
          <w:numId w:val="12"/>
        </w:numPr>
        <w:spacing w:after="235"/>
        <w:ind w:hanging="360"/>
      </w:pPr>
      <w:r>
        <w:t xml:space="preserve">This Agreement (including the Additional Terms, Guides, and any attached or incorporated documents) forms the entire agreement between the parties regarding the </w:t>
      </w:r>
      <w:r w:rsidR="000F4237">
        <w:t>ATA Partner Network</w:t>
      </w:r>
      <w:r>
        <w:t xml:space="preserve">. </w:t>
      </w:r>
      <w:r>
        <w:lastRenderedPageBreak/>
        <w:t xml:space="preserve">It replaces all prior agreements, communications and representations between the parties regarding the </w:t>
      </w:r>
      <w:r w:rsidR="000F4237">
        <w:t>ATA Partner Network</w:t>
      </w:r>
      <w:r>
        <w:t xml:space="preserve">. </w:t>
      </w:r>
    </w:p>
    <w:p w14:paraId="04AD442D" w14:textId="77777777" w:rsidR="00571840" w:rsidRDefault="00B927C3">
      <w:pPr>
        <w:numPr>
          <w:ilvl w:val="0"/>
          <w:numId w:val="12"/>
        </w:numPr>
        <w:spacing w:after="271"/>
        <w:ind w:hanging="360"/>
      </w:pPr>
      <w:r>
        <w:t xml:space="preserve">Unless required by laws or as otherwise provided in the Agreement, the English language version of all parts of the Agreement controls, and communications and notices under the Agreement must be in the English language to be effective. Any translations of the Agreement, in whole or in part, that </w:t>
      </w:r>
      <w:r w:rsidR="0093493D">
        <w:t>Fenix Alliance</w:t>
      </w:r>
      <w:r>
        <w:t xml:space="preserve"> may provide as a courtesy are not official or binding. If Company is in Canada, it is the express wish of both parties that the Agreement, and any associated documentation, be written and signed in English. </w:t>
      </w:r>
      <w:r w:rsidRPr="00594E00">
        <w:rPr>
          <w:i/>
          <w:iCs/>
          <w:lang w:val="fr-FR"/>
        </w:rPr>
        <w:t>C’est la volonté expresse des parties que la présente convention ainsi que les documents qui s’y rattachent soient rédigés en anglais</w:t>
      </w:r>
      <w:r w:rsidRPr="00594E00">
        <w:rPr>
          <w:lang w:val="fr-FR"/>
        </w:rPr>
        <w:t>.</w:t>
      </w:r>
      <w:r>
        <w:t xml:space="preserve"> </w:t>
      </w:r>
    </w:p>
    <w:p w14:paraId="061D2CA5" w14:textId="77777777" w:rsidR="00571840" w:rsidRDefault="00B927C3">
      <w:pPr>
        <w:pStyle w:val="Heading2"/>
        <w:spacing w:after="178"/>
        <w:ind w:left="9"/>
      </w:pPr>
      <w:r>
        <w:rPr>
          <w:noProof/>
        </w:rPr>
        <w:drawing>
          <wp:inline distT="0" distB="0" distL="0" distR="0" wp14:anchorId="35015451" wp14:editId="0F0C797A">
            <wp:extent cx="168402" cy="99822"/>
            <wp:effectExtent l="0" t="0" r="0" b="0"/>
            <wp:docPr id="1979" name="Picture 1979"/>
            <wp:cNvGraphicFramePr/>
            <a:graphic xmlns:a="http://schemas.openxmlformats.org/drawingml/2006/main">
              <a:graphicData uri="http://schemas.openxmlformats.org/drawingml/2006/picture">
                <pic:pic xmlns:pic="http://schemas.openxmlformats.org/drawingml/2006/picture">
                  <pic:nvPicPr>
                    <pic:cNvPr id="1979" name="Picture 1979"/>
                    <pic:cNvPicPr/>
                  </pic:nvPicPr>
                  <pic:blipFill>
                    <a:blip r:embed="rId24"/>
                    <a:stretch>
                      <a:fillRect/>
                    </a:stretch>
                  </pic:blipFill>
                  <pic:spPr>
                    <a:xfrm>
                      <a:off x="0" y="0"/>
                      <a:ext cx="168402" cy="99822"/>
                    </a:xfrm>
                    <a:prstGeom prst="rect">
                      <a:avLst/>
                    </a:prstGeom>
                  </pic:spPr>
                </pic:pic>
              </a:graphicData>
            </a:graphic>
          </wp:inline>
        </w:drawing>
      </w:r>
      <w:r>
        <w:rPr>
          <w:rFonts w:ascii="Arial" w:eastAsia="Arial" w:hAnsi="Arial" w:cs="Arial"/>
        </w:rPr>
        <w:t xml:space="preserve"> </w:t>
      </w:r>
      <w:r>
        <w:t xml:space="preserve">Country-Specific Provisions </w:t>
      </w:r>
    </w:p>
    <w:p w14:paraId="2846758F" w14:textId="77777777" w:rsidR="00571840" w:rsidRDefault="00B927C3">
      <w:pPr>
        <w:ind w:left="0" w:firstLine="0"/>
      </w:pPr>
      <w:r>
        <w:t xml:space="preserve">The </w:t>
      </w:r>
      <w:hyperlink r:id="rId25">
        <w:r>
          <w:rPr>
            <w:color w:val="0000FF"/>
            <w:u w:val="single" w:color="0000FF"/>
          </w:rPr>
          <w:t>Country</w:t>
        </w:r>
      </w:hyperlink>
      <w:hyperlink r:id="rId26">
        <w:r>
          <w:rPr>
            <w:color w:val="0000FF"/>
            <w:u w:val="single" w:color="0000FF"/>
          </w:rPr>
          <w:t>-</w:t>
        </w:r>
      </w:hyperlink>
      <w:hyperlink r:id="rId27">
        <w:r>
          <w:rPr>
            <w:color w:val="0000FF"/>
            <w:u w:val="single" w:color="0000FF"/>
          </w:rPr>
          <w:t>Specific Provisions</w:t>
        </w:r>
      </w:hyperlink>
      <w:hyperlink r:id="rId28">
        <w:r>
          <w:t xml:space="preserve">, </w:t>
        </w:r>
      </w:hyperlink>
      <w:r>
        <w:t xml:space="preserve">which set forth the applicable law, jurisdiction, and </w:t>
      </w:r>
      <w:r w:rsidR="0093493D">
        <w:t>Fenix Alliance</w:t>
      </w:r>
      <w:r>
        <w:t xml:space="preserve"> contracting entity, are hereby incorporated into this Agreement. </w:t>
      </w:r>
    </w:p>
    <w:p w14:paraId="3218AA98" w14:textId="77777777" w:rsidR="00571840" w:rsidRDefault="00571840">
      <w:pPr>
        <w:sectPr w:rsidR="00571840">
          <w:footerReference w:type="even" r:id="rId29"/>
          <w:footerReference w:type="default" r:id="rId30"/>
          <w:footerReference w:type="first" r:id="rId31"/>
          <w:pgSz w:w="12240" w:h="15840"/>
          <w:pgMar w:top="1511" w:right="1437" w:bottom="1038" w:left="1440" w:header="720" w:footer="60" w:gutter="0"/>
          <w:cols w:space="720"/>
        </w:sectPr>
      </w:pPr>
    </w:p>
    <w:p w14:paraId="7755532C" w14:textId="26C17B97" w:rsidR="00571840" w:rsidRDefault="00B927C3">
      <w:pPr>
        <w:spacing w:after="168"/>
        <w:ind w:left="0" w:firstLine="0"/>
        <w:jc w:val="left"/>
      </w:pPr>
      <w:r>
        <w:lastRenderedPageBreak/>
        <w:t xml:space="preserve"> </w:t>
      </w:r>
    </w:p>
    <w:p w14:paraId="1F64A38A" w14:textId="77777777" w:rsidR="00571840" w:rsidRDefault="00B927C3">
      <w:pPr>
        <w:spacing w:after="109"/>
        <w:ind w:left="0" w:firstLine="0"/>
        <w:jc w:val="left"/>
      </w:pPr>
      <w:r>
        <w:t xml:space="preserve"> </w:t>
      </w:r>
    </w:p>
    <w:p w14:paraId="72E2B5FA" w14:textId="77777777" w:rsidR="00571840" w:rsidRDefault="00B927C3">
      <w:pPr>
        <w:pStyle w:val="Heading1"/>
        <w:ind w:left="-5"/>
      </w:pPr>
      <w:r>
        <w:t xml:space="preserve">Additional Terms for </w:t>
      </w:r>
      <w:r w:rsidR="000F4237">
        <w:t>ATA Partner Network</w:t>
      </w:r>
      <w:r>
        <w:t xml:space="preserve"> Programs </w:t>
      </w:r>
    </w:p>
    <w:p w14:paraId="7E6C37A5" w14:textId="77777777" w:rsidR="00571840" w:rsidRDefault="00B927C3">
      <w:pPr>
        <w:spacing w:after="272"/>
        <w:ind w:left="0" w:firstLine="0"/>
      </w:pPr>
      <w:r>
        <w:t xml:space="preserve">These Additional Terms for </w:t>
      </w:r>
      <w:r w:rsidR="000F4237">
        <w:t>ATA Partner Network</w:t>
      </w:r>
      <w:r>
        <w:t xml:space="preserve"> Programs apply to your participation in any </w:t>
      </w:r>
      <w:r w:rsidR="000F4237">
        <w:t>ATA Partner Network</w:t>
      </w:r>
      <w:r>
        <w:t xml:space="preserve"> Program or Offer (as defined in the Agreement).</w:t>
      </w:r>
      <w:r>
        <w:rPr>
          <w:b/>
        </w:rPr>
        <w:t xml:space="preserve"> </w:t>
      </w:r>
    </w:p>
    <w:p w14:paraId="189FB0A7" w14:textId="77777777" w:rsidR="00571840" w:rsidRDefault="00B927C3">
      <w:pPr>
        <w:pStyle w:val="Heading2"/>
        <w:ind w:left="9"/>
      </w:pPr>
      <w:r>
        <w:rPr>
          <w:noProof/>
        </w:rPr>
        <w:drawing>
          <wp:inline distT="0" distB="0" distL="0" distR="0" wp14:anchorId="4A744CEA" wp14:editId="6AB794B5">
            <wp:extent cx="95250" cy="99822"/>
            <wp:effectExtent l="0" t="0" r="0" b="0"/>
            <wp:docPr id="2048" name="Picture 2048"/>
            <wp:cNvGraphicFramePr/>
            <a:graphic xmlns:a="http://schemas.openxmlformats.org/drawingml/2006/main">
              <a:graphicData uri="http://schemas.openxmlformats.org/drawingml/2006/picture">
                <pic:pic xmlns:pic="http://schemas.openxmlformats.org/drawingml/2006/picture">
                  <pic:nvPicPr>
                    <pic:cNvPr id="2048" name="Picture 2048"/>
                    <pic:cNvPicPr/>
                  </pic:nvPicPr>
                  <pic:blipFill>
                    <a:blip r:embed="rId10"/>
                    <a:stretch>
                      <a:fillRect/>
                    </a:stretch>
                  </pic:blipFill>
                  <pic:spPr>
                    <a:xfrm>
                      <a:off x="0" y="0"/>
                      <a:ext cx="95250" cy="99822"/>
                    </a:xfrm>
                    <a:prstGeom prst="rect">
                      <a:avLst/>
                    </a:prstGeom>
                  </pic:spPr>
                </pic:pic>
              </a:graphicData>
            </a:graphic>
          </wp:inline>
        </w:drawing>
      </w:r>
      <w:r>
        <w:rPr>
          <w:rFonts w:ascii="Arial" w:eastAsia="Arial" w:hAnsi="Arial" w:cs="Arial"/>
        </w:rPr>
        <w:t xml:space="preserve"> </w:t>
      </w:r>
      <w:r>
        <w:t xml:space="preserve">Affiliate Participation </w:t>
      </w:r>
    </w:p>
    <w:p w14:paraId="4148A5F3" w14:textId="77777777" w:rsidR="00571840" w:rsidRDefault="00B927C3">
      <w:pPr>
        <w:numPr>
          <w:ilvl w:val="0"/>
          <w:numId w:val="13"/>
        </w:numPr>
        <w:spacing w:after="235"/>
        <w:ind w:hanging="360"/>
      </w:pPr>
      <w:r>
        <w:t xml:space="preserve">Subject to any limitations set out in a Program Guide, your Personnel and those of your Affiliates may participate in an </w:t>
      </w:r>
      <w:r w:rsidR="000F4237">
        <w:t>ATA Partner Network</w:t>
      </w:r>
      <w:r>
        <w:t xml:space="preserve"> Program under your membership and any </w:t>
      </w:r>
      <w:r w:rsidR="000F4237">
        <w:t>ATA Partner Network</w:t>
      </w:r>
      <w:r>
        <w:t xml:space="preserve"> ID assigned to you. You must promptly deny access for any Personnel who are no longer associated with you or your Affiliate. You are solely responsible and liable for activity that occurs under your membership and/or </w:t>
      </w:r>
      <w:r w:rsidR="000F4237">
        <w:t>ATA Partner Network</w:t>
      </w:r>
      <w:r>
        <w:t xml:space="preserve"> ID, and any breach of this Agreement or the Additional Terms by any of your or your Affiliates’ Personnel will be deemed a breach by you.  </w:t>
      </w:r>
    </w:p>
    <w:p w14:paraId="1B13265C" w14:textId="77777777" w:rsidR="00571840" w:rsidRDefault="0093493D">
      <w:pPr>
        <w:numPr>
          <w:ilvl w:val="0"/>
          <w:numId w:val="13"/>
        </w:numPr>
        <w:spacing w:after="235"/>
        <w:ind w:hanging="360"/>
      </w:pPr>
      <w:r>
        <w:t>Fenix Alliance</w:t>
      </w:r>
      <w:r w:rsidR="00B927C3">
        <w:t xml:space="preserve"> may assign these Additional Terms (or delegate certain duties) to a </w:t>
      </w:r>
      <w:r>
        <w:t>Fenix Alliance</w:t>
      </w:r>
      <w:r w:rsidR="00B927C3">
        <w:t xml:space="preserve"> Affiliate at any time upon 30 days’ notice, provided that such assignment or delegation will not materially impair your rights and remedies under these Additional Terms. Except for such right, neither party may assign these Additional Terms (whether by merger, asset sale, operation of law, or otherwise) without the prior written approval of the other party, and any attempted assignment in violation of this Section shall have no effect. </w:t>
      </w:r>
    </w:p>
    <w:p w14:paraId="48B34B0C" w14:textId="77777777" w:rsidR="00571840" w:rsidRDefault="00B927C3">
      <w:pPr>
        <w:numPr>
          <w:ilvl w:val="0"/>
          <w:numId w:val="13"/>
        </w:numPr>
        <w:spacing w:after="271"/>
        <w:ind w:hanging="360"/>
      </w:pPr>
      <w:r>
        <w:t xml:space="preserve">Notwithstanding Section 11 of the </w:t>
      </w:r>
      <w:r w:rsidR="000F4237">
        <w:t>ATA Partner Network</w:t>
      </w:r>
      <w:r>
        <w:t xml:space="preserve"> Agreement, terms for a Program may designate a </w:t>
      </w:r>
      <w:r w:rsidR="0093493D">
        <w:t>Fenix Alliance</w:t>
      </w:r>
      <w:r>
        <w:t xml:space="preserve"> Affiliate as the </w:t>
      </w:r>
      <w:r w:rsidR="0093493D">
        <w:t>Fenix Alliance</w:t>
      </w:r>
      <w:r>
        <w:t xml:space="preserve"> Contracting Entity for that Program.  If a Program is issued by a </w:t>
      </w:r>
      <w:r w:rsidR="0093493D">
        <w:t>Fenix Alliance</w:t>
      </w:r>
      <w:r>
        <w:t xml:space="preserve"> Affiliate, the terms of the Agreement will apply to and will be incorporated into such Program and Company agrees that the Program will be strictly as between the </w:t>
      </w:r>
      <w:r w:rsidR="0093493D">
        <w:t>Fenix Alliance</w:t>
      </w:r>
      <w:r>
        <w:t xml:space="preserve"> Affiliate and Company and </w:t>
      </w:r>
      <w:r w:rsidR="0093493D">
        <w:t>Fenix Alliance</w:t>
      </w:r>
      <w:r>
        <w:t xml:space="preserve"> will have no responsibility whatsoever for such Program.  In the event a </w:t>
      </w:r>
      <w:r w:rsidR="0093493D">
        <w:t>Fenix Alliance</w:t>
      </w:r>
      <w:r>
        <w:t xml:space="preserve"> Affiliate issues a Program, the Applicable Law and Jurisdiction will be based on the location of the </w:t>
      </w:r>
      <w:r w:rsidR="0093493D">
        <w:t>Fenix Alliance</w:t>
      </w:r>
      <w:r>
        <w:t xml:space="preserve"> Affiliate </w:t>
      </w:r>
    </w:p>
    <w:p w14:paraId="2152EAF8" w14:textId="77777777" w:rsidR="00571840" w:rsidRDefault="00B927C3">
      <w:pPr>
        <w:pStyle w:val="Heading2"/>
        <w:ind w:left="9"/>
      </w:pPr>
      <w:r>
        <w:rPr>
          <w:noProof/>
        </w:rPr>
        <w:drawing>
          <wp:inline distT="0" distB="0" distL="0" distR="0" wp14:anchorId="1FD0CC95" wp14:editId="28452807">
            <wp:extent cx="102870" cy="99822"/>
            <wp:effectExtent l="0" t="0" r="0" b="0"/>
            <wp:docPr id="2126" name="Picture 2126"/>
            <wp:cNvGraphicFramePr/>
            <a:graphic xmlns:a="http://schemas.openxmlformats.org/drawingml/2006/main">
              <a:graphicData uri="http://schemas.openxmlformats.org/drawingml/2006/picture">
                <pic:pic xmlns:pic="http://schemas.openxmlformats.org/drawingml/2006/picture">
                  <pic:nvPicPr>
                    <pic:cNvPr id="2126" name="Picture 2126"/>
                    <pic:cNvPicPr/>
                  </pic:nvPicPr>
                  <pic:blipFill>
                    <a:blip r:embed="rId32"/>
                    <a:stretch>
                      <a:fillRect/>
                    </a:stretch>
                  </pic:blipFill>
                  <pic:spPr>
                    <a:xfrm>
                      <a:off x="0" y="0"/>
                      <a:ext cx="102870" cy="99822"/>
                    </a:xfrm>
                    <a:prstGeom prst="rect">
                      <a:avLst/>
                    </a:prstGeom>
                  </pic:spPr>
                </pic:pic>
              </a:graphicData>
            </a:graphic>
          </wp:inline>
        </w:drawing>
      </w:r>
      <w:r>
        <w:rPr>
          <w:rFonts w:ascii="Arial" w:eastAsia="Arial" w:hAnsi="Arial" w:cs="Arial"/>
        </w:rPr>
        <w:t xml:space="preserve"> </w:t>
      </w:r>
      <w:r>
        <w:t xml:space="preserve">Programs </w:t>
      </w:r>
    </w:p>
    <w:p w14:paraId="050CFD3F" w14:textId="77777777" w:rsidR="00571840" w:rsidRDefault="00B927C3">
      <w:pPr>
        <w:numPr>
          <w:ilvl w:val="0"/>
          <w:numId w:val="14"/>
        </w:numPr>
        <w:spacing w:after="235"/>
        <w:ind w:hanging="360"/>
      </w:pPr>
      <w:r>
        <w:t xml:space="preserve">The Program Guide will describe or identify the eligibility, criteria, term length, and other terms and conditions applicable to the Program.  The Program Guide and related documents may be delivered directly to Company or published on a Partner Portal.  </w:t>
      </w:r>
    </w:p>
    <w:p w14:paraId="5E5C027F" w14:textId="77777777" w:rsidR="00571840" w:rsidRDefault="00B927C3">
      <w:pPr>
        <w:numPr>
          <w:ilvl w:val="0"/>
          <w:numId w:val="14"/>
        </w:numPr>
        <w:spacing w:after="1"/>
        <w:ind w:hanging="360"/>
      </w:pPr>
      <w:r>
        <w:t xml:space="preserve">To participate in a Program, Company or Company Affiliate, as applicable, must meet the Program eligibility criteria, perform and comply with the Program terms, and must comply with any separate agreements, Guides, or other documentation that may be a requirement for the Program. </w:t>
      </w:r>
    </w:p>
    <w:p w14:paraId="0AD8AD36" w14:textId="77777777" w:rsidR="00571840" w:rsidRDefault="00B927C3">
      <w:pPr>
        <w:spacing w:after="235"/>
        <w:ind w:left="705" w:firstLine="0"/>
      </w:pPr>
      <w:r>
        <w:t xml:space="preserve">Participation by Company is voluntary. </w:t>
      </w:r>
    </w:p>
    <w:p w14:paraId="3579B9C0" w14:textId="77777777" w:rsidR="00571840" w:rsidRDefault="00B927C3">
      <w:pPr>
        <w:numPr>
          <w:ilvl w:val="0"/>
          <w:numId w:val="14"/>
        </w:numPr>
        <w:spacing w:after="235"/>
        <w:ind w:hanging="360"/>
      </w:pPr>
      <w:r>
        <w:rPr>
          <w:u w:val="single" w:color="000000"/>
        </w:rPr>
        <w:t>Co-Sell Programs</w:t>
      </w:r>
      <w:r>
        <w:t xml:space="preserve">. If you participate in a partner co-selling program, </w:t>
      </w:r>
      <w:r w:rsidR="0093493D">
        <w:t>Fenix Alliance</w:t>
      </w:r>
      <w:r>
        <w:t xml:space="preserve"> may share customer information with you, which may include Personal Data such as customer contact information. You must only use the customer contact information and any other customer Personal Data: </w:t>
      </w:r>
    </w:p>
    <w:p w14:paraId="19D7B905" w14:textId="77777777" w:rsidR="00571840" w:rsidRDefault="00B927C3">
      <w:pPr>
        <w:numPr>
          <w:ilvl w:val="1"/>
          <w:numId w:val="14"/>
        </w:numPr>
        <w:spacing w:after="755"/>
        <w:ind w:hanging="360"/>
      </w:pPr>
      <w:r>
        <w:t xml:space="preserve">in accordance the laws and regulations governing such data, including the Data Protection laws and Canada’s Anti-Spam Law (CASL); </w:t>
      </w:r>
    </w:p>
    <w:p w14:paraId="02AEBAAC" w14:textId="77777777" w:rsidR="00571840" w:rsidRDefault="00B927C3">
      <w:pPr>
        <w:numPr>
          <w:ilvl w:val="1"/>
          <w:numId w:val="14"/>
        </w:numPr>
        <w:ind w:hanging="360"/>
      </w:pPr>
      <w:r>
        <w:lastRenderedPageBreak/>
        <w:t xml:space="preserve">to contact the customer in accordance with their previously indicated preferred means of communication, and </w:t>
      </w:r>
    </w:p>
    <w:p w14:paraId="043C0FEF" w14:textId="77777777" w:rsidR="00571840" w:rsidRDefault="00B927C3">
      <w:pPr>
        <w:numPr>
          <w:ilvl w:val="1"/>
          <w:numId w:val="14"/>
        </w:numPr>
        <w:spacing w:after="159"/>
        <w:ind w:hanging="360"/>
      </w:pPr>
      <w:r>
        <w:t xml:space="preserve">to sell </w:t>
      </w:r>
      <w:r w:rsidR="0093493D">
        <w:t>Fenix Alliance</w:t>
      </w:r>
      <w:r>
        <w:t xml:space="preserve"> products or services and related products or services that are of interest to customer.  </w:t>
      </w:r>
    </w:p>
    <w:p w14:paraId="0F3C0731" w14:textId="77777777" w:rsidR="00571840" w:rsidRDefault="00B927C3">
      <w:pPr>
        <w:ind w:left="705" w:firstLine="0"/>
      </w:pPr>
      <w:r>
        <w:t xml:space="preserve">You must independently obtain customer’s consent for any other use of customer contact information or customer Personal Data, and </w:t>
      </w:r>
      <w:r w:rsidR="0093493D">
        <w:t>Fenix Alliance</w:t>
      </w:r>
      <w:r>
        <w:t xml:space="preserve"> will not be responsible or liable for such other use. For any lead information you provide to </w:t>
      </w:r>
      <w:r w:rsidR="0093493D">
        <w:t>Fenix Alliance</w:t>
      </w:r>
      <w:r>
        <w:t xml:space="preserve">, you must comply with applicable notice or consent laws or requirements before sharing any Personal Data with </w:t>
      </w:r>
      <w:r w:rsidR="0093493D">
        <w:t>Fenix Alliance</w:t>
      </w:r>
      <w:r>
        <w:t xml:space="preserve">. You may retain customer Personal Data for a period of 30 days, unless you have obtained customer consent to retain such customer Personal Data for a longer period. If you participate in a Co-Sell program and upon request from </w:t>
      </w:r>
      <w:r w:rsidR="0093493D">
        <w:t>Fenix Alliance</w:t>
      </w:r>
      <w:r>
        <w:t xml:space="preserve">, you agree to provide relevant evidence of the agreement between you and your end customer solely to establish deal eligibility and that </w:t>
      </w:r>
      <w:r w:rsidR="0093493D">
        <w:t>Fenix Alliance</w:t>
      </w:r>
      <w:r>
        <w:t xml:space="preserve"> may use such information to improve and develop its internal processes and tools.  All such information is deemed your Confidential Information. Failure to provide reasonable agreement evidence may impact Co-Sell eligibility. </w:t>
      </w:r>
    </w:p>
    <w:p w14:paraId="0CEC9239" w14:textId="77777777" w:rsidR="00571840" w:rsidRDefault="00B927C3">
      <w:pPr>
        <w:numPr>
          <w:ilvl w:val="0"/>
          <w:numId w:val="14"/>
        </w:numPr>
        <w:spacing w:after="235"/>
        <w:ind w:hanging="360"/>
      </w:pPr>
      <w:r>
        <w:rPr>
          <w:u w:val="single" w:color="000000"/>
        </w:rPr>
        <w:t>Tools and Software</w:t>
      </w:r>
      <w:r>
        <w:t xml:space="preserve">.  If you access any tools or software through the </w:t>
      </w:r>
      <w:r w:rsidR="000F4237">
        <w:t>ATA Partner Network</w:t>
      </w:r>
      <w:r>
        <w:t xml:space="preserve"> Programs or Offers, including Partner Sales Connect, you agree to access and use solely for internal business purposes consistent with the </w:t>
      </w:r>
      <w:r w:rsidR="000F4237">
        <w:t>ATA Partner Network</w:t>
      </w:r>
      <w:r>
        <w:t xml:space="preserve">.  </w:t>
      </w:r>
    </w:p>
    <w:p w14:paraId="6AB25E79" w14:textId="77777777" w:rsidR="00571840" w:rsidRDefault="0093493D">
      <w:pPr>
        <w:numPr>
          <w:ilvl w:val="0"/>
          <w:numId w:val="14"/>
        </w:numPr>
        <w:spacing w:after="230" w:line="265" w:lineRule="auto"/>
        <w:ind w:hanging="360"/>
      </w:pPr>
      <w:r>
        <w:rPr>
          <w:u w:val="single" w:color="000000"/>
        </w:rPr>
        <w:t>Fenix Alliance</w:t>
      </w:r>
      <w:r w:rsidR="00B927C3">
        <w:rPr>
          <w:u w:val="single" w:color="000000"/>
        </w:rPr>
        <w:t xml:space="preserve"> Store and Partner Center</w:t>
      </w:r>
      <w:r w:rsidR="00B927C3">
        <w:t xml:space="preserve"> </w:t>
      </w:r>
    </w:p>
    <w:p w14:paraId="57DF2E45" w14:textId="77777777" w:rsidR="00571840" w:rsidRDefault="00B927C3">
      <w:pPr>
        <w:numPr>
          <w:ilvl w:val="1"/>
          <w:numId w:val="14"/>
        </w:numPr>
        <w:spacing w:after="1"/>
        <w:ind w:hanging="360"/>
      </w:pPr>
      <w:r>
        <w:rPr>
          <w:b/>
        </w:rPr>
        <w:t>DISCLAIMER OF WARRANTY.</w:t>
      </w:r>
      <w:r>
        <w:t xml:space="preserve"> WE PROVIDE THE STORE AND PARTNER CENTER "AS-IS," </w:t>
      </w:r>
    </w:p>
    <w:p w14:paraId="27FEFB36" w14:textId="77777777" w:rsidR="00571840" w:rsidRDefault="00B927C3">
      <w:pPr>
        <w:spacing w:after="1"/>
        <w:ind w:left="1080" w:firstLine="0"/>
      </w:pPr>
      <w:r>
        <w:t xml:space="preserve">"WITH ALL FAULTS," AND "AS AVAILABLE." YOU BEAR THE RISK OF USING THE STORE AND PARTNER CENTER. </w:t>
      </w:r>
      <w:r w:rsidR="0093493D">
        <w:t>FENIX ALLIANCE</w:t>
      </w:r>
      <w:r>
        <w:t xml:space="preserve"> EXCLUDES ANY IMPLIED WARRANTIES OR CONDITIONS, INCLUDING THOSE OF PRODUCT LIABILITY, MERCHANTABILITY, FITNESS FOR A PARTICULAR PURPOSE, WORKMANLIKE EFFORT, AND NON-INFRINGEMENT, RELATING TO THE STORE AND PARTNER CENTER. YOU MAY HAVE CERTAIN RIGHTS UNDER YOUR LOCAL LAW. NOTHING IN </w:t>
      </w:r>
    </w:p>
    <w:p w14:paraId="7BF820E7" w14:textId="77777777" w:rsidR="00571840" w:rsidRDefault="00B927C3">
      <w:pPr>
        <w:spacing w:after="1"/>
        <w:ind w:left="1080" w:firstLine="0"/>
      </w:pPr>
      <w:r>
        <w:t xml:space="preserve">THESE TERMS IS INTENDED TO AFFECT THOSE RIGHTS, IF AND SOLELY TO THE EXTENT THAT </w:t>
      </w:r>
    </w:p>
    <w:p w14:paraId="79133966" w14:textId="77777777" w:rsidR="00571840" w:rsidRDefault="00B927C3">
      <w:pPr>
        <w:ind w:left="1080" w:firstLine="0"/>
      </w:pPr>
      <w:r>
        <w:t>THEY ARE APPLICABLE. WITHOUT LIMITING THE FOREGOING, COVERED PARTIES EXPRESSLY DISCLAIM ANY WARRANTIES THAT ACCESS TO, OR USE OF, THE STORE OR THE PARTNER CENTER WILL BE UNINTERRUPTED OR ERROR FREE.</w:t>
      </w:r>
      <w:r>
        <w:rPr>
          <w:rFonts w:ascii="Calibri" w:eastAsia="Calibri" w:hAnsi="Calibri" w:cs="Calibri"/>
        </w:rPr>
        <w:t xml:space="preserve"> </w:t>
      </w:r>
    </w:p>
    <w:p w14:paraId="718DE514" w14:textId="77777777" w:rsidR="00571840" w:rsidRDefault="00B927C3">
      <w:pPr>
        <w:numPr>
          <w:ilvl w:val="1"/>
          <w:numId w:val="14"/>
        </w:numPr>
        <w:spacing w:after="1"/>
        <w:ind w:hanging="360"/>
      </w:pPr>
      <w:r>
        <w:rPr>
          <w:b/>
        </w:rPr>
        <w:t>LIMITATION OF LIABILITY.</w:t>
      </w:r>
      <w:r>
        <w:t xml:space="preserve"> YOU CAN RECOVER FROM </w:t>
      </w:r>
      <w:r w:rsidR="0093493D">
        <w:t>FENIX ALLIANCE</w:t>
      </w:r>
      <w:r>
        <w:t xml:space="preserve"> AND ITS AFFILIATES ONLY </w:t>
      </w:r>
    </w:p>
    <w:p w14:paraId="6B9A272D" w14:textId="77777777" w:rsidR="00571840" w:rsidRDefault="00B927C3">
      <w:pPr>
        <w:spacing w:after="0"/>
        <w:ind w:left="1080" w:firstLine="0"/>
      </w:pPr>
      <w:r>
        <w:t xml:space="preserve">DIRECT DAMAGES UP TO AN AMOUNT EQUAL TO YOUR ACCOUNT FEE (OR $1, IF THERE IS </w:t>
      </w:r>
    </w:p>
    <w:p w14:paraId="13DDCD61" w14:textId="77777777" w:rsidR="00571840" w:rsidRDefault="00B927C3">
      <w:pPr>
        <w:ind w:left="1080" w:firstLine="0"/>
      </w:pPr>
      <w:r>
        <w:t xml:space="preserve">NO ACCOUNT FEE). YOU AGREE NOT TO SEEK AND YOU WAIVE ANY RIGHT TO RECOVER ANY OTHER LOSSES OR DAMAGES, INCLUDING WITHOUT LIMITATION CONSEQUENTIAL, LOST PROFITS, SPECIAL, INDIRECT, PUNITIVE OR INCIDENTAL DAMAGES FROM ANY COVERED PARTY. THESE LIMITS AND EXCLUSIONS APPLY EVEN IF THE COVERED PARTY KNEW OR SHOULD HAVE KNOWN ABOUT THE POSSIBILITY OF THE DAMAGES. THE ABOVE LIMITATION OR EXCLUSION MAY NOT APPLY TO YOU BECAUSE YOUR STATE OR COUNTRY MAY NOT ALLOW THE EXCLUSION OF CERTAIN DAMAGES. </w:t>
      </w:r>
    </w:p>
    <w:p w14:paraId="3F1CC899" w14:textId="77777777" w:rsidR="00571840" w:rsidRDefault="00B927C3">
      <w:pPr>
        <w:numPr>
          <w:ilvl w:val="0"/>
          <w:numId w:val="14"/>
        </w:numPr>
        <w:spacing w:after="555"/>
        <w:ind w:hanging="360"/>
      </w:pPr>
      <w:r>
        <w:t xml:space="preserve">If either party provides suggestions, comments, or other feedback with respect to the other party’s products and services, the party receiving the feedback may use it for any purpose without obligation of any kind. The party receiving feedback will not disclose the source of the feedback </w:t>
      </w:r>
    </w:p>
    <w:p w14:paraId="49609101" w14:textId="77777777" w:rsidR="00571840" w:rsidRDefault="00B927C3">
      <w:pPr>
        <w:spacing w:after="234"/>
        <w:ind w:left="705" w:firstLine="0"/>
      </w:pPr>
      <w:r>
        <w:lastRenderedPageBreak/>
        <w:t xml:space="preserve">without consent. Unless the parties specifically agree in writing, feedback will not create confidentiality obligations.  </w:t>
      </w:r>
    </w:p>
    <w:p w14:paraId="18A7B346" w14:textId="77777777" w:rsidR="00571840" w:rsidRDefault="00B927C3">
      <w:pPr>
        <w:numPr>
          <w:ilvl w:val="0"/>
          <w:numId w:val="14"/>
        </w:numPr>
        <w:spacing w:after="195" w:line="265" w:lineRule="auto"/>
        <w:ind w:hanging="360"/>
      </w:pPr>
      <w:r>
        <w:rPr>
          <w:u w:val="single" w:color="000000"/>
        </w:rPr>
        <w:t>Investment Programs and Incentives</w:t>
      </w:r>
      <w:r>
        <w:t xml:space="preserve">.  </w:t>
      </w:r>
    </w:p>
    <w:p w14:paraId="74954B16" w14:textId="77777777" w:rsidR="00571840" w:rsidRDefault="00B927C3">
      <w:pPr>
        <w:spacing w:after="235"/>
        <w:ind w:left="705" w:firstLine="0"/>
      </w:pPr>
      <w:r>
        <w:t xml:space="preserve">For clarity, the following terms for Investment Programs and Incentives replace the </w:t>
      </w:r>
      <w:r w:rsidR="0093493D">
        <w:t>Fenix Alliance</w:t>
      </w:r>
      <w:r>
        <w:t xml:space="preserve"> Channel Incentives Agreement (MCIA).   </w:t>
      </w:r>
    </w:p>
    <w:p w14:paraId="1E6E6FD9" w14:textId="77777777" w:rsidR="00571840" w:rsidRDefault="00B927C3">
      <w:pPr>
        <w:numPr>
          <w:ilvl w:val="1"/>
          <w:numId w:val="14"/>
        </w:numPr>
        <w:ind w:hanging="360"/>
      </w:pPr>
      <w:r>
        <w:rPr>
          <w:u w:val="single" w:color="000000"/>
        </w:rPr>
        <w:t>Restrictions.</w:t>
      </w:r>
      <w:r>
        <w:t xml:space="preserve"> You will not be entitled to receive or retain incentive payments received in connection with a customer (</w:t>
      </w:r>
      <w:proofErr w:type="spellStart"/>
      <w:r>
        <w:t>i</w:t>
      </w:r>
      <w:proofErr w:type="spellEnd"/>
      <w:r>
        <w:t xml:space="preserve">) that is your Affiliate, or (ii) to which you owe an agency or fiduciary duty, be it contractual or legal in nature. Upon </w:t>
      </w:r>
      <w:r w:rsidR="0093493D">
        <w:t>Fenix Alliance</w:t>
      </w:r>
      <w:r>
        <w:t xml:space="preserve">’s reasonable request, you must provide </w:t>
      </w:r>
      <w:r w:rsidR="0093493D">
        <w:t>Fenix Alliance</w:t>
      </w:r>
      <w:r>
        <w:t xml:space="preserve"> with complete and accurate information concerning your Affiliates with whom you conduct </w:t>
      </w:r>
      <w:r w:rsidR="0093493D">
        <w:t>Fenix Alliance</w:t>
      </w:r>
      <w:r>
        <w:t xml:space="preserve"> business. To the extent you receive any incentive payments as a result of a transaction with an Affiliate or an entity to which you owe an agency or fiduciary duty, you will promptly notify </w:t>
      </w:r>
      <w:r w:rsidR="0093493D">
        <w:t>Fenix Alliance</w:t>
      </w:r>
      <w:r>
        <w:t xml:space="preserve"> and arrange to return or offset such payments against future incentive payments. </w:t>
      </w:r>
    </w:p>
    <w:p w14:paraId="0DC59E31" w14:textId="77777777" w:rsidR="00571840" w:rsidRDefault="00B927C3">
      <w:pPr>
        <w:numPr>
          <w:ilvl w:val="1"/>
          <w:numId w:val="14"/>
        </w:numPr>
        <w:ind w:hanging="360"/>
      </w:pPr>
      <w:r>
        <w:rPr>
          <w:u w:val="single" w:color="000000"/>
        </w:rPr>
        <w:t>Changes to Programs or Offers</w:t>
      </w:r>
      <w:r>
        <w:t xml:space="preserve">. </w:t>
      </w:r>
      <w:r w:rsidR="0093493D">
        <w:t>Fenix Alliance</w:t>
      </w:r>
      <w:r>
        <w:t xml:space="preserve"> may update, change or remove any portion of an </w:t>
      </w:r>
      <w:r w:rsidR="000F4237">
        <w:t>ATA Partner Network</w:t>
      </w:r>
      <w:r>
        <w:t xml:space="preserve"> Program or Offer, including incentives, campaigns, and programs, and </w:t>
      </w:r>
      <w:r w:rsidR="0093493D">
        <w:t>Fenix Alliance</w:t>
      </w:r>
      <w:r>
        <w:t xml:space="preserve"> may cancel an entire </w:t>
      </w:r>
      <w:r w:rsidR="000F4237">
        <w:t>ATA Partner Network</w:t>
      </w:r>
      <w:r>
        <w:t xml:space="preserve"> Program or Offer. </w:t>
      </w:r>
      <w:r w:rsidR="0093493D">
        <w:t>Fenix Alliance</w:t>
      </w:r>
      <w:r>
        <w:t xml:space="preserve"> will use commercially reasonable efforts to provide you with 30 days’ notice of such update or change, and 90 days’ notice of any cancellation of an </w:t>
      </w:r>
      <w:r w:rsidR="000F4237">
        <w:t>ATA Partner Network</w:t>
      </w:r>
      <w:r>
        <w:t xml:space="preserve"> Program or Offer.  Your continued participation in an </w:t>
      </w:r>
      <w:r w:rsidR="000F4237">
        <w:t>ATA Partner Network</w:t>
      </w:r>
      <w:r>
        <w:t xml:space="preserve"> Program or Offer following an update or change confirms your acceptance of such update or change. </w:t>
      </w:r>
    </w:p>
    <w:p w14:paraId="715286C7" w14:textId="77777777" w:rsidR="00571840" w:rsidRDefault="00B927C3">
      <w:pPr>
        <w:numPr>
          <w:ilvl w:val="1"/>
          <w:numId w:val="14"/>
        </w:numPr>
        <w:ind w:hanging="360"/>
      </w:pPr>
      <w:r>
        <w:rPr>
          <w:u w:val="single" w:color="000000"/>
        </w:rPr>
        <w:t>Eligibility Criteria</w:t>
      </w:r>
      <w:r>
        <w:t xml:space="preserve">. In addition to eligibility criteria set forth in a Program Guide, eligibility criteria for all </w:t>
      </w:r>
      <w:r w:rsidR="000F4237">
        <w:t>ATA Partner Network</w:t>
      </w:r>
      <w:r>
        <w:t xml:space="preserve"> Programs include: </w:t>
      </w:r>
    </w:p>
    <w:p w14:paraId="06097D5A" w14:textId="77777777" w:rsidR="00571840" w:rsidRDefault="00B927C3">
      <w:pPr>
        <w:numPr>
          <w:ilvl w:val="2"/>
          <w:numId w:val="14"/>
        </w:numPr>
        <w:ind w:hanging="360"/>
      </w:pPr>
      <w:r>
        <w:t xml:space="preserve">fully cooperating with </w:t>
      </w:r>
      <w:r w:rsidR="0093493D">
        <w:t>Fenix Alliance</w:t>
      </w:r>
      <w:r>
        <w:t xml:space="preserve">’s anti-corruption program, including timely submission of all requested documents and completion of questionnaires; </w:t>
      </w:r>
    </w:p>
    <w:p w14:paraId="351A9F51" w14:textId="77777777" w:rsidR="00571840" w:rsidRDefault="00B927C3">
      <w:pPr>
        <w:numPr>
          <w:ilvl w:val="2"/>
          <w:numId w:val="14"/>
        </w:numPr>
        <w:ind w:hanging="360"/>
      </w:pPr>
      <w:r>
        <w:t xml:space="preserve">avoiding sales of </w:t>
      </w:r>
      <w:r w:rsidR="0093493D">
        <w:t>Fenix Alliance</w:t>
      </w:r>
      <w:r>
        <w:t xml:space="preserve"> Products intended for Academic or Charity Institutions to ineligible customers; </w:t>
      </w:r>
    </w:p>
    <w:p w14:paraId="595EB40D" w14:textId="77777777" w:rsidR="00571840" w:rsidRDefault="00B927C3">
      <w:pPr>
        <w:numPr>
          <w:ilvl w:val="2"/>
          <w:numId w:val="14"/>
        </w:numPr>
        <w:spacing w:after="194"/>
        <w:ind w:hanging="360"/>
      </w:pPr>
      <w:r>
        <w:t xml:space="preserve">avoiding fraudulent or deceptive activities in connection with earning incentives; and </w:t>
      </w:r>
    </w:p>
    <w:p w14:paraId="212E3775" w14:textId="77777777" w:rsidR="00571840" w:rsidRDefault="00B927C3">
      <w:pPr>
        <w:numPr>
          <w:ilvl w:val="2"/>
          <w:numId w:val="14"/>
        </w:numPr>
        <w:ind w:hanging="360"/>
      </w:pPr>
      <w:r>
        <w:t xml:space="preserve">providing complete and accurate evidence in connection with earning incentives. </w:t>
      </w:r>
    </w:p>
    <w:p w14:paraId="05124A17" w14:textId="77777777" w:rsidR="00571840" w:rsidRDefault="00B927C3">
      <w:pPr>
        <w:numPr>
          <w:ilvl w:val="1"/>
          <w:numId w:val="14"/>
        </w:numPr>
        <w:spacing w:after="270"/>
        <w:ind w:hanging="360"/>
      </w:pPr>
      <w:r>
        <w:rPr>
          <w:u w:val="single" w:color="000000"/>
        </w:rPr>
        <w:t>Non-Compliance with Eligibility Criteria</w:t>
      </w:r>
      <w:r>
        <w:t xml:space="preserve">. If you no longer meet the eligibility criteria associated with an </w:t>
      </w:r>
      <w:r w:rsidR="000F4237">
        <w:t>ATA Partner Network</w:t>
      </w:r>
      <w:r>
        <w:t xml:space="preserve"> Program or Offer, </w:t>
      </w:r>
      <w:r w:rsidR="0093493D">
        <w:t>Fenix Alliance</w:t>
      </w:r>
      <w:r>
        <w:t xml:space="preserve"> will notify you and you will have 30 days to remedy any lapse in eligibility.  If you fail to remedy the lapse in eligibility within 30 days, your eligibility will be suspended and you will not be entitled to participate in the applicable </w:t>
      </w:r>
      <w:r w:rsidR="000F4237">
        <w:t>ATA Partner Network</w:t>
      </w:r>
      <w:r>
        <w:t xml:space="preserve"> Program or Offer. You may regain eligibility by demonstrating compliance with applicable eligibility criteria to </w:t>
      </w:r>
      <w:r w:rsidR="0093493D">
        <w:t>Fenix Alliance</w:t>
      </w:r>
      <w:r>
        <w:t xml:space="preserve">’s reasonable satisfaction, at which time your eligibility status will be restored the calendar month following your renewed eligibility. </w:t>
      </w:r>
    </w:p>
    <w:p w14:paraId="29B10BE1" w14:textId="77777777" w:rsidR="00571840" w:rsidRDefault="00B927C3">
      <w:pPr>
        <w:pStyle w:val="Heading2"/>
        <w:ind w:left="9"/>
      </w:pPr>
      <w:r>
        <w:rPr>
          <w:noProof/>
        </w:rPr>
        <w:drawing>
          <wp:inline distT="0" distB="0" distL="0" distR="0" wp14:anchorId="001D5B5B" wp14:editId="01465820">
            <wp:extent cx="101346" cy="99822"/>
            <wp:effectExtent l="0" t="0" r="0" b="0"/>
            <wp:docPr id="2617" name="Picture 2617"/>
            <wp:cNvGraphicFramePr/>
            <a:graphic xmlns:a="http://schemas.openxmlformats.org/drawingml/2006/main">
              <a:graphicData uri="http://schemas.openxmlformats.org/drawingml/2006/picture">
                <pic:pic xmlns:pic="http://schemas.openxmlformats.org/drawingml/2006/picture">
                  <pic:nvPicPr>
                    <pic:cNvPr id="2617" name="Picture 2617"/>
                    <pic:cNvPicPr/>
                  </pic:nvPicPr>
                  <pic:blipFill>
                    <a:blip r:embed="rId12"/>
                    <a:stretch>
                      <a:fillRect/>
                    </a:stretch>
                  </pic:blipFill>
                  <pic:spPr>
                    <a:xfrm>
                      <a:off x="0" y="0"/>
                      <a:ext cx="101346" cy="99822"/>
                    </a:xfrm>
                    <a:prstGeom prst="rect">
                      <a:avLst/>
                    </a:prstGeom>
                  </pic:spPr>
                </pic:pic>
              </a:graphicData>
            </a:graphic>
          </wp:inline>
        </w:drawing>
      </w:r>
      <w:r>
        <w:rPr>
          <w:rFonts w:ascii="Arial" w:eastAsia="Arial" w:hAnsi="Arial" w:cs="Arial"/>
        </w:rPr>
        <w:t xml:space="preserve"> </w:t>
      </w:r>
      <w:r>
        <w:t xml:space="preserve">Taxes and Payments </w:t>
      </w:r>
    </w:p>
    <w:p w14:paraId="08218112" w14:textId="77777777" w:rsidR="00571840" w:rsidRDefault="00B927C3">
      <w:pPr>
        <w:numPr>
          <w:ilvl w:val="0"/>
          <w:numId w:val="15"/>
        </w:numPr>
        <w:spacing w:after="1048" w:line="265" w:lineRule="auto"/>
        <w:ind w:hanging="360"/>
        <w:jc w:val="left"/>
      </w:pPr>
      <w:r>
        <w:rPr>
          <w:u w:val="single" w:color="000000"/>
        </w:rPr>
        <w:t>Taxes</w:t>
      </w:r>
      <w:r>
        <w:t xml:space="preserve">. </w:t>
      </w:r>
    </w:p>
    <w:p w14:paraId="08614A36" w14:textId="77777777" w:rsidR="00571840" w:rsidRDefault="00B927C3">
      <w:pPr>
        <w:spacing w:after="136"/>
        <w:ind w:left="103" w:hanging="10"/>
        <w:jc w:val="left"/>
      </w:pPr>
      <w:r>
        <w:rPr>
          <w:color w:val="7F7F7F"/>
          <w:sz w:val="16"/>
        </w:rPr>
        <w:lastRenderedPageBreak/>
        <w:t xml:space="preserve">Additional Terms for </w:t>
      </w:r>
      <w:r w:rsidR="000F4237">
        <w:rPr>
          <w:color w:val="7F7F7F"/>
          <w:sz w:val="16"/>
        </w:rPr>
        <w:t>ATA Partner Network</w:t>
      </w:r>
      <w:r>
        <w:rPr>
          <w:color w:val="7F7F7F"/>
          <w:sz w:val="16"/>
        </w:rPr>
        <w:t xml:space="preserve"> Programs</w:t>
      </w:r>
    </w:p>
    <w:p w14:paraId="1768B5B6" w14:textId="77777777" w:rsidR="00571840" w:rsidRDefault="00B927C3">
      <w:pPr>
        <w:numPr>
          <w:ilvl w:val="1"/>
          <w:numId w:val="15"/>
        </w:numPr>
        <w:ind w:hanging="360"/>
      </w:pPr>
      <w:r>
        <w:t xml:space="preserve">Neither party is liable for any taxes the other is legally obligated to pay, including but not limited to net income or gross receipts taxes, franchise taxes, and property taxes, which relate to any transactions contemplated under this Agreement.  Except as set forth in Section 3.b in these Additional Terms, each party will pay to the other any sales, use or value added taxes it owes due to entering into the Agreement and which the law requires be collected from it by the other party. Neither party will collect taxes covered by a valid exemption certificate provided by the other. Each party agrees to indemnify, defend and hold the other party harmless from any taxes or claims, causes of action, costs (including, without limitation, reasonable attorneys’ fees) and any other liabilities related to the indemnifying party’s tax obligations. </w:t>
      </w:r>
    </w:p>
    <w:p w14:paraId="270FD485" w14:textId="77777777" w:rsidR="00571840" w:rsidRDefault="00B927C3">
      <w:pPr>
        <w:numPr>
          <w:ilvl w:val="1"/>
          <w:numId w:val="15"/>
        </w:numPr>
        <w:ind w:hanging="360"/>
      </w:pPr>
      <w:r>
        <w:t xml:space="preserve">If the law requires that taxes be withheld from any payments from one party to the other, such amounts will be withheld and paid to the appropriate taxing authority. The party that withholds such taxes will secure and deliver to the other party an official receipt for those withholdings and other documents reasonably requested by the other party in order to claim a foreign tax credit or refund.  The parties will use reasonable efforts to minimize any taxes withheld to the extent allowed by law. </w:t>
      </w:r>
    </w:p>
    <w:p w14:paraId="2558BE25" w14:textId="77777777" w:rsidR="00571840" w:rsidRDefault="00B927C3">
      <w:pPr>
        <w:numPr>
          <w:ilvl w:val="0"/>
          <w:numId w:val="15"/>
        </w:numPr>
        <w:spacing w:after="230" w:line="265" w:lineRule="auto"/>
        <w:ind w:hanging="360"/>
        <w:jc w:val="left"/>
      </w:pPr>
      <w:r>
        <w:rPr>
          <w:u w:val="single" w:color="000000"/>
        </w:rPr>
        <w:t xml:space="preserve">Payments from </w:t>
      </w:r>
      <w:r w:rsidR="0093493D">
        <w:rPr>
          <w:u w:val="single" w:color="000000"/>
        </w:rPr>
        <w:t>Fenix Alliance</w:t>
      </w:r>
      <w:r>
        <w:t xml:space="preserve">.  </w:t>
      </w:r>
    </w:p>
    <w:p w14:paraId="58836463" w14:textId="77777777" w:rsidR="00571840" w:rsidRDefault="00B927C3">
      <w:pPr>
        <w:numPr>
          <w:ilvl w:val="1"/>
          <w:numId w:val="15"/>
        </w:numPr>
        <w:ind w:hanging="360"/>
      </w:pPr>
      <w:r>
        <w:t xml:space="preserve">The specific terms relating to payments from </w:t>
      </w:r>
      <w:r w:rsidR="0093493D">
        <w:t>Fenix Alliance</w:t>
      </w:r>
      <w:r>
        <w:t xml:space="preserve">, including incentive payments, vary by </w:t>
      </w:r>
      <w:r w:rsidR="000F4237">
        <w:t>ATA Partner Network</w:t>
      </w:r>
      <w:r>
        <w:t xml:space="preserve"> Program or Offer and are included in the applicable Guides. Incentive payments are subject to the </w:t>
      </w:r>
      <w:r w:rsidR="0093493D">
        <w:t>Fenix Alliance</w:t>
      </w:r>
      <w:r>
        <w:t xml:space="preserve"> calculation and compliance rules and policies, and other requirements for registering and earning incentive payments (including invoice submission instructions), which may be further described in the applicable Program Guide.  </w:t>
      </w:r>
    </w:p>
    <w:p w14:paraId="43AF06BA" w14:textId="77777777" w:rsidR="00571840" w:rsidRDefault="00B927C3">
      <w:pPr>
        <w:numPr>
          <w:ilvl w:val="1"/>
          <w:numId w:val="15"/>
        </w:numPr>
        <w:ind w:hanging="360"/>
      </w:pPr>
      <w:r>
        <w:t xml:space="preserve">Except as may be otherwise provided in the applicable Program Guide, the payments you receive from </w:t>
      </w:r>
      <w:r w:rsidR="0093493D">
        <w:t>Fenix Alliance</w:t>
      </w:r>
      <w:r>
        <w:t xml:space="preserve"> include any applicable goods and services tax, value added tax, sales tax, gross receipts tax, or any other tax that is applicable. It is your sole responsibility to pay all applicable taxes related payments from </w:t>
      </w:r>
      <w:r w:rsidR="0093493D">
        <w:t>Fenix Alliance</w:t>
      </w:r>
      <w:r>
        <w:t xml:space="preserve">.  </w:t>
      </w:r>
    </w:p>
    <w:p w14:paraId="2CA1E277" w14:textId="77777777" w:rsidR="00571840" w:rsidRDefault="00B927C3">
      <w:pPr>
        <w:numPr>
          <w:ilvl w:val="1"/>
          <w:numId w:val="15"/>
        </w:numPr>
        <w:ind w:hanging="360"/>
      </w:pPr>
      <w:r>
        <w:t xml:space="preserve">In the event </w:t>
      </w:r>
      <w:r w:rsidR="0093493D">
        <w:t>Fenix Alliance</w:t>
      </w:r>
      <w:r>
        <w:t xml:space="preserve"> overpays you, regardless of the reason, </w:t>
      </w:r>
      <w:r w:rsidR="0093493D">
        <w:t>Fenix Alliance</w:t>
      </w:r>
      <w:r>
        <w:t xml:space="preserve"> may recover such overpayment from you by deducting amounts from future incentive payments. In addition to any other remedies, </w:t>
      </w:r>
      <w:r w:rsidR="0093493D">
        <w:t>Fenix Alliance</w:t>
      </w:r>
      <w:r>
        <w:t xml:space="preserve"> may reduce, cancel or withhold incentive payments relating to your breach or default under the Agreement, Additional Terms, or Program Guide or fail to act in good faith in trying to earn incentive payments. </w:t>
      </w:r>
      <w:r w:rsidR="0093493D">
        <w:t>Fenix Alliance</w:t>
      </w:r>
      <w:r>
        <w:t xml:space="preserve"> will provide you with written notice of any decision to reduce, cancel or withhold incentive payments under this Section.  </w:t>
      </w:r>
    </w:p>
    <w:p w14:paraId="5979C15A" w14:textId="77777777" w:rsidR="00571840" w:rsidRDefault="00B927C3">
      <w:pPr>
        <w:numPr>
          <w:ilvl w:val="0"/>
          <w:numId w:val="15"/>
        </w:numPr>
        <w:spacing w:after="273"/>
        <w:ind w:hanging="360"/>
        <w:jc w:val="left"/>
      </w:pPr>
      <w:r>
        <w:t xml:space="preserve">For disputes relating to </w:t>
      </w:r>
      <w:r w:rsidR="0093493D">
        <w:t>Fenix Alliance</w:t>
      </w:r>
      <w:r>
        <w:t xml:space="preserve">’s decision to reduce, cancel or withhold incentive payments under Section 3.cb(3) in these Additional Terms, you must contact </w:t>
      </w:r>
      <w:r w:rsidR="0093493D">
        <w:t>Fenix Alliance</w:t>
      </w:r>
      <w:r>
        <w:t xml:space="preserve"> in writing within 30 days of receiving notice of such action, after which time you waive any right to dispute </w:t>
      </w:r>
      <w:r w:rsidR="0093493D">
        <w:t>Fenix Alliance</w:t>
      </w:r>
      <w:r>
        <w:t xml:space="preserve">’s decision. For all other disputes related to incentive payments, you must contact </w:t>
      </w:r>
      <w:r w:rsidR="0093493D">
        <w:t>Fenix Alliance</w:t>
      </w:r>
      <w:r>
        <w:t xml:space="preserve"> in writing within 90 days after your receipt of the applicable incentive payment, after which time you waive any right to dispute </w:t>
      </w:r>
      <w:r w:rsidR="0093493D">
        <w:t>Fenix Alliance</w:t>
      </w:r>
      <w:r>
        <w:t xml:space="preserve">’s decision. </w:t>
      </w:r>
    </w:p>
    <w:p w14:paraId="2EFB7688" w14:textId="77777777" w:rsidR="00571840" w:rsidRDefault="00B927C3">
      <w:pPr>
        <w:pStyle w:val="Heading2"/>
        <w:spacing w:after="178"/>
        <w:ind w:left="9"/>
      </w:pPr>
      <w:r>
        <w:rPr>
          <w:noProof/>
        </w:rPr>
        <w:drawing>
          <wp:inline distT="0" distB="0" distL="0" distR="0" wp14:anchorId="02AF8199" wp14:editId="220B6E63">
            <wp:extent cx="105918" cy="98298"/>
            <wp:effectExtent l="0" t="0" r="0" b="0"/>
            <wp:docPr id="2759" name="Picture 2759"/>
            <wp:cNvGraphicFramePr/>
            <a:graphic xmlns:a="http://schemas.openxmlformats.org/drawingml/2006/main">
              <a:graphicData uri="http://schemas.openxmlformats.org/drawingml/2006/picture">
                <pic:pic xmlns:pic="http://schemas.openxmlformats.org/drawingml/2006/picture">
                  <pic:nvPicPr>
                    <pic:cNvPr id="2759" name="Picture 2759"/>
                    <pic:cNvPicPr/>
                  </pic:nvPicPr>
                  <pic:blipFill>
                    <a:blip r:embed="rId16"/>
                    <a:stretch>
                      <a:fillRect/>
                    </a:stretch>
                  </pic:blipFill>
                  <pic:spPr>
                    <a:xfrm>
                      <a:off x="0" y="0"/>
                      <a:ext cx="105918" cy="98298"/>
                    </a:xfrm>
                    <a:prstGeom prst="rect">
                      <a:avLst/>
                    </a:prstGeom>
                  </pic:spPr>
                </pic:pic>
              </a:graphicData>
            </a:graphic>
          </wp:inline>
        </w:drawing>
      </w:r>
      <w:r>
        <w:rPr>
          <w:rFonts w:ascii="Arial" w:eastAsia="Arial" w:hAnsi="Arial" w:cs="Arial"/>
        </w:rPr>
        <w:t xml:space="preserve"> </w:t>
      </w:r>
      <w:r>
        <w:t xml:space="preserve">Alternative Terms for Incentives </w:t>
      </w:r>
    </w:p>
    <w:p w14:paraId="78C5F410" w14:textId="0E2520B1" w:rsidR="00571840" w:rsidRDefault="00B927C3" w:rsidP="00594E00">
      <w:pPr>
        <w:spacing w:after="626"/>
        <w:ind w:left="0" w:firstLine="0"/>
      </w:pPr>
      <w:r>
        <w:t xml:space="preserve">Notwithstanding anything to the contrary in the Agreement, the </w:t>
      </w:r>
      <w:hyperlink r:id="rId33">
        <w:r>
          <w:rPr>
            <w:color w:val="0000FF"/>
            <w:u w:val="single" w:color="0000FF"/>
          </w:rPr>
          <w:t>Alternative Terms</w:t>
        </w:r>
      </w:hyperlink>
      <w:hyperlink r:id="rId34">
        <w:r>
          <w:rPr>
            <w:color w:val="0000FF"/>
            <w:u w:val="single" w:color="0000FF"/>
          </w:rPr>
          <w:t xml:space="preserve"> </w:t>
        </w:r>
      </w:hyperlink>
      <w:hyperlink r:id="rId35">
        <w:r>
          <w:rPr>
            <w:color w:val="0000FF"/>
            <w:u w:val="single" w:color="0000FF"/>
          </w:rPr>
          <w:t>for Incentives</w:t>
        </w:r>
      </w:hyperlink>
      <w:hyperlink r:id="rId36">
        <w:r>
          <w:t xml:space="preserve"> </w:t>
        </w:r>
      </w:hyperlink>
      <w:r>
        <w:t xml:space="preserve">will apply to incentive payments and/or Programs that are listed as in-scope.  </w:t>
      </w:r>
    </w:p>
    <w:sectPr w:rsidR="00571840">
      <w:footerReference w:type="even" r:id="rId37"/>
      <w:footerReference w:type="default" r:id="rId38"/>
      <w:footerReference w:type="first" r:id="rId39"/>
      <w:pgSz w:w="12240" w:h="15840"/>
      <w:pgMar w:top="749" w:right="1435" w:bottom="615" w:left="1440" w:header="720" w:footer="14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FA01B" w14:textId="77777777" w:rsidR="00234D67" w:rsidRDefault="00234D67">
      <w:pPr>
        <w:spacing w:after="0" w:line="240" w:lineRule="auto"/>
      </w:pPr>
      <w:r>
        <w:separator/>
      </w:r>
    </w:p>
  </w:endnote>
  <w:endnote w:type="continuationSeparator" w:id="0">
    <w:p w14:paraId="33343765" w14:textId="77777777" w:rsidR="00234D67" w:rsidRDefault="00234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49C2C" w14:textId="77777777" w:rsidR="00234D67" w:rsidRDefault="00234D67">
    <w:pPr>
      <w:spacing w:after="318"/>
      <w:ind w:left="0" w:firstLine="0"/>
      <w:jc w:val="left"/>
    </w:pPr>
    <w:r>
      <w:rPr>
        <w:sz w:val="4"/>
      </w:rPr>
      <w:t xml:space="preserve"> </w:t>
    </w:r>
  </w:p>
  <w:p w14:paraId="05B838A7" w14:textId="36E02D9C" w:rsidR="00234D67" w:rsidRDefault="00234D67">
    <w:pPr>
      <w:tabs>
        <w:tab w:val="center" w:pos="5147"/>
        <w:tab w:val="right" w:pos="9363"/>
      </w:tabs>
      <w:spacing w:after="0"/>
      <w:ind w:left="0" w:right="-28" w:firstLine="0"/>
      <w:jc w:val="left"/>
    </w:pPr>
    <w:r w:rsidRPr="00594E00">
      <w:rPr>
        <w:color w:val="7F7F7F"/>
        <w:sz w:val="16"/>
      </w:rPr>
      <w:t>Alliance Trusted Advisor Partner Network Agreement</w:t>
    </w:r>
    <w:r>
      <w:rPr>
        <w:color w:val="7F7F7F"/>
        <w:sz w:val="16"/>
      </w:rPr>
      <w:tab/>
      <w:t xml:space="preserve"> </w:t>
    </w:r>
    <w:r>
      <w:rPr>
        <w:color w:val="7F7F7F"/>
        <w:sz w:val="16"/>
      </w:rPr>
      <w:tab/>
      <w:t xml:space="preserve">Page </w:t>
    </w:r>
    <w:r>
      <w:fldChar w:fldCharType="begin"/>
    </w:r>
    <w:r>
      <w:instrText xml:space="preserve"> PAGE   \* MERGEFORMAT </w:instrText>
    </w:r>
    <w:r>
      <w:fldChar w:fldCharType="separate"/>
    </w:r>
    <w:r>
      <w:rPr>
        <w:color w:val="7F7F7F"/>
        <w:sz w:val="16"/>
      </w:rPr>
      <w:t>2</w:t>
    </w:r>
    <w:r>
      <w:rPr>
        <w:color w:val="7F7F7F"/>
        <w:sz w:val="16"/>
      </w:rPr>
      <w:fldChar w:fldCharType="end"/>
    </w:r>
    <w:r>
      <w:rPr>
        <w:color w:val="7F7F7F"/>
        <w:sz w:val="16"/>
      </w:rPr>
      <w:t xml:space="preserve"> of 9 </w:t>
    </w:r>
  </w:p>
  <w:p w14:paraId="07620B08" w14:textId="77777777" w:rsidR="00234D67" w:rsidRDefault="00234D67">
    <w:pPr>
      <w:spacing w:after="0"/>
      <w:ind w:left="108" w:firstLine="0"/>
      <w:jc w:val="left"/>
    </w:pPr>
    <w:r>
      <w:rPr>
        <w:color w:val="7F7F7F"/>
      </w:rPr>
      <w:t xml:space="preserve"> </w:t>
    </w:r>
    <w:r>
      <w:rPr>
        <w:color w:val="7F7F7F"/>
        <w:sz w:val="16"/>
      </w:rPr>
      <w:t xml:space="preserve"> </w:t>
    </w:r>
  </w:p>
  <w:p w14:paraId="574DD366" w14:textId="77777777" w:rsidR="00234D67" w:rsidRDefault="00234D67">
    <w:pPr>
      <w:spacing w:after="0"/>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1BB10" w14:textId="77777777" w:rsidR="00234D67" w:rsidRDefault="00234D67">
    <w:pPr>
      <w:spacing w:after="318"/>
      <w:ind w:left="0" w:firstLine="0"/>
      <w:jc w:val="left"/>
    </w:pPr>
    <w:r>
      <w:rPr>
        <w:sz w:val="4"/>
      </w:rPr>
      <w:t xml:space="preserve"> </w:t>
    </w:r>
  </w:p>
  <w:p w14:paraId="762215D9" w14:textId="1324547B" w:rsidR="00234D67" w:rsidRDefault="00234D67">
    <w:pPr>
      <w:tabs>
        <w:tab w:val="center" w:pos="5147"/>
        <w:tab w:val="right" w:pos="9363"/>
      </w:tabs>
      <w:spacing w:after="0"/>
      <w:ind w:left="0" w:right="-28" w:firstLine="0"/>
      <w:jc w:val="left"/>
    </w:pPr>
    <w:r w:rsidRPr="00594E00">
      <w:rPr>
        <w:color w:val="7F7F7F"/>
        <w:sz w:val="16"/>
      </w:rPr>
      <w:t xml:space="preserve">Alliance Trusted Advisor Partner Network Agreement </w:t>
    </w:r>
    <w:r>
      <w:rPr>
        <w:color w:val="7F7F7F"/>
        <w:sz w:val="16"/>
      </w:rPr>
      <w:tab/>
      <w:t xml:space="preserve"> </w:t>
    </w:r>
    <w:r>
      <w:rPr>
        <w:color w:val="7F7F7F"/>
        <w:sz w:val="16"/>
      </w:rPr>
      <w:tab/>
      <w:t xml:space="preserve">Page </w:t>
    </w:r>
    <w:r>
      <w:fldChar w:fldCharType="begin"/>
    </w:r>
    <w:r>
      <w:instrText xml:space="preserve"> PAGE   \* MERGEFORMAT </w:instrText>
    </w:r>
    <w:r>
      <w:fldChar w:fldCharType="separate"/>
    </w:r>
    <w:r>
      <w:rPr>
        <w:color w:val="7F7F7F"/>
        <w:sz w:val="16"/>
      </w:rPr>
      <w:t>2</w:t>
    </w:r>
    <w:r>
      <w:rPr>
        <w:color w:val="7F7F7F"/>
        <w:sz w:val="16"/>
      </w:rPr>
      <w:fldChar w:fldCharType="end"/>
    </w:r>
    <w:r>
      <w:rPr>
        <w:color w:val="7F7F7F"/>
        <w:sz w:val="16"/>
      </w:rPr>
      <w:t xml:space="preserve"> of 9 </w:t>
    </w:r>
  </w:p>
  <w:p w14:paraId="14AD1926" w14:textId="77777777" w:rsidR="00234D67" w:rsidRDefault="00234D67">
    <w:pPr>
      <w:spacing w:after="0"/>
      <w:ind w:left="108" w:firstLine="0"/>
      <w:jc w:val="left"/>
    </w:pPr>
    <w:r>
      <w:rPr>
        <w:color w:val="7F7F7F"/>
      </w:rPr>
      <w:t xml:space="preserve"> </w:t>
    </w:r>
    <w:r>
      <w:rPr>
        <w:color w:val="7F7F7F"/>
        <w:sz w:val="16"/>
      </w:rPr>
      <w:t xml:space="preserve"> </w:t>
    </w:r>
  </w:p>
  <w:p w14:paraId="4FAA8F42" w14:textId="77777777" w:rsidR="00234D67" w:rsidRDefault="00234D67">
    <w:pPr>
      <w:spacing w:after="0"/>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188CA" w14:textId="77777777" w:rsidR="00234D67" w:rsidRDefault="00234D67">
    <w:pPr>
      <w:spacing w:after="318"/>
      <w:ind w:left="0" w:firstLine="0"/>
      <w:jc w:val="left"/>
    </w:pPr>
    <w:r>
      <w:rPr>
        <w:sz w:val="4"/>
      </w:rPr>
      <w:t xml:space="preserve"> </w:t>
    </w:r>
  </w:p>
  <w:p w14:paraId="58D997C8" w14:textId="77777777" w:rsidR="00234D67" w:rsidRDefault="00234D67">
    <w:pPr>
      <w:tabs>
        <w:tab w:val="center" w:pos="5147"/>
        <w:tab w:val="right" w:pos="9363"/>
      </w:tabs>
      <w:spacing w:after="0"/>
      <w:ind w:left="0" w:right="-28" w:firstLine="0"/>
      <w:jc w:val="left"/>
    </w:pPr>
    <w:r>
      <w:rPr>
        <w:color w:val="7F7F7F"/>
        <w:sz w:val="16"/>
      </w:rPr>
      <w:t xml:space="preserve">Microsoft Partner Network Agreement </w:t>
    </w:r>
    <w:r>
      <w:rPr>
        <w:color w:val="7F7F7F"/>
        <w:sz w:val="16"/>
      </w:rPr>
      <w:tab/>
      <w:t xml:space="preserve"> </w:t>
    </w:r>
    <w:r>
      <w:rPr>
        <w:color w:val="7F7F7F"/>
        <w:sz w:val="16"/>
      </w:rPr>
      <w:tab/>
      <w:t xml:space="preserve">Page </w:t>
    </w:r>
    <w:r>
      <w:fldChar w:fldCharType="begin"/>
    </w:r>
    <w:r>
      <w:instrText xml:space="preserve"> PAGE   \* MERGEFORMAT </w:instrText>
    </w:r>
    <w:r>
      <w:fldChar w:fldCharType="separate"/>
    </w:r>
    <w:r>
      <w:rPr>
        <w:color w:val="7F7F7F"/>
        <w:sz w:val="16"/>
      </w:rPr>
      <w:t>2</w:t>
    </w:r>
    <w:r>
      <w:rPr>
        <w:color w:val="7F7F7F"/>
        <w:sz w:val="16"/>
      </w:rPr>
      <w:fldChar w:fldCharType="end"/>
    </w:r>
    <w:r>
      <w:rPr>
        <w:color w:val="7F7F7F"/>
        <w:sz w:val="16"/>
      </w:rPr>
      <w:t xml:space="preserve"> of 9 </w:t>
    </w:r>
  </w:p>
  <w:p w14:paraId="2EA0AACD" w14:textId="77777777" w:rsidR="00234D67" w:rsidRDefault="00234D67">
    <w:pPr>
      <w:spacing w:after="0"/>
      <w:ind w:left="108" w:firstLine="0"/>
      <w:jc w:val="left"/>
    </w:pPr>
    <w:r>
      <w:rPr>
        <w:color w:val="7F7F7F"/>
      </w:rPr>
      <w:t xml:space="preserve"> </w:t>
    </w:r>
    <w:r>
      <w:rPr>
        <w:color w:val="7F7F7F"/>
        <w:sz w:val="16"/>
      </w:rPr>
      <w:t xml:space="preserve"> </w:t>
    </w:r>
  </w:p>
  <w:p w14:paraId="64C53776" w14:textId="77777777" w:rsidR="00234D67" w:rsidRDefault="00234D67">
    <w:pPr>
      <w:spacing w:after="0"/>
      <w:ind w:left="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D8FC8" w14:textId="7D3AB599" w:rsidR="00234D67" w:rsidRDefault="00234D67">
    <w:pPr>
      <w:tabs>
        <w:tab w:val="center" w:pos="2669"/>
        <w:tab w:val="center" w:pos="5147"/>
        <w:tab w:val="right" w:pos="9364"/>
      </w:tabs>
      <w:spacing w:after="0"/>
      <w:ind w:left="0" w:firstLine="0"/>
      <w:jc w:val="left"/>
    </w:pPr>
    <w:r w:rsidRPr="00594E00">
      <w:rPr>
        <w:color w:val="7F7F7F"/>
        <w:sz w:val="16"/>
      </w:rPr>
      <w:t>Alliance Trusted Advisor Partner Network Agreement</w:t>
    </w:r>
    <w:r>
      <w:rPr>
        <w:color w:val="7F7F7F"/>
        <w:sz w:val="16"/>
      </w:rPr>
      <w:t xml:space="preserve"> </w:t>
    </w:r>
    <w:r>
      <w:rPr>
        <w:color w:val="7F7F7F"/>
        <w:sz w:val="16"/>
      </w:rPr>
      <w:tab/>
      <w:t xml:space="preserve"> </w:t>
    </w:r>
    <w:r>
      <w:rPr>
        <w:color w:val="7F7F7F"/>
        <w:sz w:val="16"/>
      </w:rPr>
      <w:tab/>
      <w:t xml:space="preserve">Page </w:t>
    </w:r>
    <w:r>
      <w:fldChar w:fldCharType="begin"/>
    </w:r>
    <w:r>
      <w:instrText xml:space="preserve"> PAGE   \* MERGEFORMAT </w:instrText>
    </w:r>
    <w:r>
      <w:fldChar w:fldCharType="separate"/>
    </w:r>
    <w:r>
      <w:rPr>
        <w:color w:val="7F7F7F"/>
        <w:sz w:val="16"/>
      </w:rPr>
      <w:t>1</w:t>
    </w:r>
    <w:r>
      <w:rPr>
        <w:color w:val="7F7F7F"/>
        <w:sz w:val="16"/>
      </w:rPr>
      <w:fldChar w:fldCharType="end"/>
    </w:r>
    <w:r>
      <w:rPr>
        <w:color w:val="7F7F7F"/>
        <w:sz w:val="16"/>
      </w:rPr>
      <w:t xml:space="preserve"> of 4 </w:t>
    </w:r>
  </w:p>
  <w:p w14:paraId="4011C319" w14:textId="77777777" w:rsidR="00234D67" w:rsidRDefault="00234D67">
    <w:pPr>
      <w:spacing w:after="0"/>
      <w:ind w:left="108" w:firstLine="0"/>
      <w:jc w:val="left"/>
    </w:pPr>
    <w:r>
      <w:rPr>
        <w:color w:val="7F7F7F"/>
      </w:rPr>
      <w:t xml:space="preserve"> </w:t>
    </w:r>
    <w:r>
      <w:rPr>
        <w:color w:val="7F7F7F"/>
        <w:sz w:val="16"/>
      </w:rPr>
      <w:t xml:space="preserve"> </w:t>
    </w:r>
  </w:p>
  <w:p w14:paraId="04766EF3" w14:textId="77777777" w:rsidR="00234D67" w:rsidRDefault="00234D67">
    <w:pPr>
      <w:spacing w:after="0"/>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44897" w14:textId="0E81E40B" w:rsidR="00234D67" w:rsidRDefault="00234D67">
    <w:pPr>
      <w:tabs>
        <w:tab w:val="center" w:pos="2669"/>
        <w:tab w:val="center" w:pos="5147"/>
        <w:tab w:val="right" w:pos="9364"/>
      </w:tabs>
      <w:spacing w:after="0"/>
      <w:ind w:left="0" w:firstLine="0"/>
      <w:jc w:val="left"/>
    </w:pPr>
    <w:r w:rsidRPr="00594E00">
      <w:rPr>
        <w:color w:val="7F7F7F"/>
        <w:sz w:val="16"/>
      </w:rPr>
      <w:t>Alliance Trusted Advisor Partner Network Agreement</w:t>
    </w:r>
    <w:r>
      <w:rPr>
        <w:color w:val="7F7F7F"/>
        <w:sz w:val="16"/>
      </w:rPr>
      <w:t xml:space="preserve"> </w:t>
    </w:r>
    <w:r>
      <w:rPr>
        <w:color w:val="7F7F7F"/>
        <w:sz w:val="16"/>
      </w:rPr>
      <w:tab/>
      <w:t xml:space="preserve"> </w:t>
    </w:r>
    <w:r>
      <w:rPr>
        <w:color w:val="7F7F7F"/>
        <w:sz w:val="16"/>
      </w:rPr>
      <w:tab/>
      <w:t xml:space="preserve">Page </w:t>
    </w:r>
    <w:r>
      <w:fldChar w:fldCharType="begin"/>
    </w:r>
    <w:r>
      <w:instrText xml:space="preserve"> PAGE   \* MERGEFORMAT </w:instrText>
    </w:r>
    <w:r>
      <w:fldChar w:fldCharType="separate"/>
    </w:r>
    <w:r>
      <w:rPr>
        <w:color w:val="7F7F7F"/>
        <w:sz w:val="16"/>
      </w:rPr>
      <w:t>1</w:t>
    </w:r>
    <w:r>
      <w:rPr>
        <w:color w:val="7F7F7F"/>
        <w:sz w:val="16"/>
      </w:rPr>
      <w:fldChar w:fldCharType="end"/>
    </w:r>
    <w:r>
      <w:rPr>
        <w:color w:val="7F7F7F"/>
        <w:sz w:val="16"/>
      </w:rPr>
      <w:t xml:space="preserve"> of 4 </w:t>
    </w:r>
  </w:p>
  <w:p w14:paraId="1891B894" w14:textId="77777777" w:rsidR="00234D67" w:rsidRDefault="00234D67">
    <w:pPr>
      <w:spacing w:after="0"/>
      <w:ind w:left="108" w:firstLine="0"/>
      <w:jc w:val="left"/>
    </w:pPr>
    <w:r>
      <w:rPr>
        <w:color w:val="7F7F7F"/>
      </w:rPr>
      <w:t xml:space="preserve"> </w:t>
    </w:r>
    <w:r>
      <w:rPr>
        <w:color w:val="7F7F7F"/>
        <w:sz w:val="16"/>
      </w:rPr>
      <w:t xml:space="preserve"> </w:t>
    </w:r>
  </w:p>
  <w:p w14:paraId="2962B293" w14:textId="77777777" w:rsidR="00234D67" w:rsidRDefault="00234D67">
    <w:pPr>
      <w:spacing w:after="0"/>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1F449" w14:textId="77777777" w:rsidR="00234D67" w:rsidRDefault="00234D67">
    <w:pPr>
      <w:tabs>
        <w:tab w:val="center" w:pos="2669"/>
        <w:tab w:val="center" w:pos="5147"/>
        <w:tab w:val="right" w:pos="9364"/>
      </w:tabs>
      <w:spacing w:after="0"/>
      <w:ind w:left="0" w:firstLine="0"/>
      <w:jc w:val="left"/>
    </w:pPr>
    <w:r>
      <w:rPr>
        <w:rFonts w:ascii="Calibri" w:eastAsia="Calibri" w:hAnsi="Calibri" w:cs="Calibri"/>
        <w:sz w:val="22"/>
      </w:rPr>
      <w:tab/>
    </w:r>
    <w:r>
      <w:rPr>
        <w:color w:val="7F7F7F"/>
        <w:sz w:val="16"/>
      </w:rPr>
      <w:t xml:space="preserve"> </w:t>
    </w:r>
    <w:r>
      <w:rPr>
        <w:color w:val="7F7F7F"/>
        <w:sz w:val="16"/>
      </w:rPr>
      <w:tab/>
      <w:t xml:space="preserve"> </w:t>
    </w:r>
    <w:r>
      <w:rPr>
        <w:color w:val="7F7F7F"/>
        <w:sz w:val="16"/>
      </w:rPr>
      <w:tab/>
      <w:t xml:space="preserve">Page </w:t>
    </w:r>
    <w:r>
      <w:fldChar w:fldCharType="begin"/>
    </w:r>
    <w:r>
      <w:instrText xml:space="preserve"> PAGE   \* MERGEFORMAT </w:instrText>
    </w:r>
    <w:r>
      <w:fldChar w:fldCharType="separate"/>
    </w:r>
    <w:r>
      <w:rPr>
        <w:color w:val="7F7F7F"/>
        <w:sz w:val="16"/>
      </w:rPr>
      <w:t>1</w:t>
    </w:r>
    <w:r>
      <w:rPr>
        <w:color w:val="7F7F7F"/>
        <w:sz w:val="16"/>
      </w:rPr>
      <w:fldChar w:fldCharType="end"/>
    </w:r>
    <w:r>
      <w:rPr>
        <w:color w:val="7F7F7F"/>
        <w:sz w:val="16"/>
      </w:rPr>
      <w:t xml:space="preserve"> of 4 </w:t>
    </w:r>
  </w:p>
  <w:p w14:paraId="366567C4" w14:textId="77777777" w:rsidR="00234D67" w:rsidRDefault="00234D67">
    <w:pPr>
      <w:spacing w:after="0"/>
      <w:ind w:left="108" w:firstLine="0"/>
      <w:jc w:val="left"/>
    </w:pPr>
    <w:r>
      <w:rPr>
        <w:color w:val="7F7F7F"/>
      </w:rPr>
      <w:t xml:space="preserve"> </w:t>
    </w:r>
    <w:r>
      <w:rPr>
        <w:color w:val="7F7F7F"/>
        <w:sz w:val="16"/>
      </w:rPr>
      <w:t xml:space="preserve"> </w:t>
    </w:r>
  </w:p>
  <w:p w14:paraId="6B4A9C79" w14:textId="77777777" w:rsidR="00234D67" w:rsidRDefault="00234D67">
    <w:pPr>
      <w:spacing w:after="0"/>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B3057" w14:textId="77777777" w:rsidR="00234D67" w:rsidRDefault="00234D67">
      <w:pPr>
        <w:spacing w:after="0" w:line="240" w:lineRule="auto"/>
      </w:pPr>
      <w:r>
        <w:separator/>
      </w:r>
    </w:p>
  </w:footnote>
  <w:footnote w:type="continuationSeparator" w:id="0">
    <w:p w14:paraId="748E692F" w14:textId="77777777" w:rsidR="00234D67" w:rsidRDefault="00234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C3891"/>
    <w:multiLevelType w:val="hybridMultilevel"/>
    <w:tmpl w:val="B14EB18E"/>
    <w:lvl w:ilvl="0" w:tplc="3904DBE4">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64544E16">
      <w:start w:val="1"/>
      <w:numFmt w:val="lowerLetter"/>
      <w:lvlText w:val="%2"/>
      <w:lvlJc w:val="left"/>
      <w:pPr>
        <w:ind w:left="14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2D5A2AA6">
      <w:start w:val="1"/>
      <w:numFmt w:val="lowerRoman"/>
      <w:lvlText w:val="%3"/>
      <w:lvlJc w:val="left"/>
      <w:pPr>
        <w:ind w:left="21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9278902A">
      <w:start w:val="1"/>
      <w:numFmt w:val="decimal"/>
      <w:lvlText w:val="%4"/>
      <w:lvlJc w:val="left"/>
      <w:pPr>
        <w:ind w:left="28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43B28C92">
      <w:start w:val="1"/>
      <w:numFmt w:val="lowerLetter"/>
      <w:lvlText w:val="%5"/>
      <w:lvlJc w:val="left"/>
      <w:pPr>
        <w:ind w:left="36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3AC4C814">
      <w:start w:val="1"/>
      <w:numFmt w:val="lowerRoman"/>
      <w:lvlText w:val="%6"/>
      <w:lvlJc w:val="left"/>
      <w:pPr>
        <w:ind w:left="43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1CB23FB2">
      <w:start w:val="1"/>
      <w:numFmt w:val="decimal"/>
      <w:lvlText w:val="%7"/>
      <w:lvlJc w:val="left"/>
      <w:pPr>
        <w:ind w:left="50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234A1EDC">
      <w:start w:val="1"/>
      <w:numFmt w:val="lowerLetter"/>
      <w:lvlText w:val="%8"/>
      <w:lvlJc w:val="left"/>
      <w:pPr>
        <w:ind w:left="57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39DE7002">
      <w:start w:val="1"/>
      <w:numFmt w:val="lowerRoman"/>
      <w:lvlText w:val="%9"/>
      <w:lvlJc w:val="left"/>
      <w:pPr>
        <w:ind w:left="64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C713386"/>
    <w:multiLevelType w:val="hybridMultilevel"/>
    <w:tmpl w:val="D6D09BE4"/>
    <w:lvl w:ilvl="0" w:tplc="E18429FE">
      <w:start w:val="4"/>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62FCFB82">
      <w:start w:val="1"/>
      <w:numFmt w:val="lowerLetter"/>
      <w:lvlText w:val="%2"/>
      <w:lvlJc w:val="left"/>
      <w:pPr>
        <w:ind w:left="117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5E462800">
      <w:start w:val="1"/>
      <w:numFmt w:val="lowerRoman"/>
      <w:lvlText w:val="%3"/>
      <w:lvlJc w:val="left"/>
      <w:pPr>
        <w:ind w:left="189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FD927622">
      <w:start w:val="1"/>
      <w:numFmt w:val="decimal"/>
      <w:lvlText w:val="%4"/>
      <w:lvlJc w:val="left"/>
      <w:pPr>
        <w:ind w:left="261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6D7A396A">
      <w:start w:val="1"/>
      <w:numFmt w:val="lowerLetter"/>
      <w:lvlText w:val="%5"/>
      <w:lvlJc w:val="left"/>
      <w:pPr>
        <w:ind w:left="333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11D2F9E6">
      <w:start w:val="1"/>
      <w:numFmt w:val="lowerRoman"/>
      <w:lvlText w:val="%6"/>
      <w:lvlJc w:val="left"/>
      <w:pPr>
        <w:ind w:left="405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969A0AA0">
      <w:start w:val="1"/>
      <w:numFmt w:val="decimal"/>
      <w:lvlText w:val="%7"/>
      <w:lvlJc w:val="left"/>
      <w:pPr>
        <w:ind w:left="477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01B6E1DA">
      <w:start w:val="1"/>
      <w:numFmt w:val="lowerLetter"/>
      <w:lvlText w:val="%8"/>
      <w:lvlJc w:val="left"/>
      <w:pPr>
        <w:ind w:left="549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E6B8A456">
      <w:start w:val="1"/>
      <w:numFmt w:val="lowerRoman"/>
      <w:lvlText w:val="%9"/>
      <w:lvlJc w:val="left"/>
      <w:pPr>
        <w:ind w:left="621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E4E151D"/>
    <w:multiLevelType w:val="hybridMultilevel"/>
    <w:tmpl w:val="43B012A2"/>
    <w:lvl w:ilvl="0" w:tplc="0FB4C336">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68C49F8E">
      <w:start w:val="1"/>
      <w:numFmt w:val="decimal"/>
      <w:lvlText w:val="(%2)"/>
      <w:lvlJc w:val="left"/>
      <w:pPr>
        <w:ind w:left="106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9C2ECB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A2EF89C">
      <w:start w:val="1"/>
      <w:numFmt w:val="bullet"/>
      <w:lvlText w:val="•"/>
      <w:lvlJc w:val="left"/>
      <w:pPr>
        <w:ind w:left="24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6C32A0">
      <w:start w:val="1"/>
      <w:numFmt w:val="bullet"/>
      <w:lvlText w:val="o"/>
      <w:lvlJc w:val="left"/>
      <w:pPr>
        <w:ind w:left="31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F23866">
      <w:start w:val="1"/>
      <w:numFmt w:val="bullet"/>
      <w:lvlText w:val="▪"/>
      <w:lvlJc w:val="left"/>
      <w:pPr>
        <w:ind w:left="38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4AD284">
      <w:start w:val="1"/>
      <w:numFmt w:val="bullet"/>
      <w:lvlText w:val="•"/>
      <w:lvlJc w:val="left"/>
      <w:pPr>
        <w:ind w:left="45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DC2FA2">
      <w:start w:val="1"/>
      <w:numFmt w:val="bullet"/>
      <w:lvlText w:val="o"/>
      <w:lvlJc w:val="left"/>
      <w:pPr>
        <w:ind w:left="52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DE59F6">
      <w:start w:val="1"/>
      <w:numFmt w:val="bullet"/>
      <w:lvlText w:val="▪"/>
      <w:lvlJc w:val="left"/>
      <w:pPr>
        <w:ind w:left="60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E8909D0"/>
    <w:multiLevelType w:val="hybridMultilevel"/>
    <w:tmpl w:val="1F78876C"/>
    <w:lvl w:ilvl="0" w:tplc="C7E66688">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E3B0852A">
      <w:start w:val="1"/>
      <w:numFmt w:val="decimal"/>
      <w:lvlText w:val="(%2)"/>
      <w:lvlJc w:val="left"/>
      <w:pPr>
        <w:ind w:left="106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25E4EB3E">
      <w:start w:val="1"/>
      <w:numFmt w:val="lowerRoman"/>
      <w:lvlText w:val="%3"/>
      <w:lvlJc w:val="left"/>
      <w:pPr>
        <w:ind w:left="163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6226D482">
      <w:start w:val="1"/>
      <w:numFmt w:val="decimal"/>
      <w:lvlText w:val="%4"/>
      <w:lvlJc w:val="left"/>
      <w:pPr>
        <w:ind w:left="235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19263038">
      <w:start w:val="1"/>
      <w:numFmt w:val="lowerLetter"/>
      <w:lvlText w:val="%5"/>
      <w:lvlJc w:val="left"/>
      <w:pPr>
        <w:ind w:left="307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20CCA37E">
      <w:start w:val="1"/>
      <w:numFmt w:val="lowerRoman"/>
      <w:lvlText w:val="%6"/>
      <w:lvlJc w:val="left"/>
      <w:pPr>
        <w:ind w:left="379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8EACE510">
      <w:start w:val="1"/>
      <w:numFmt w:val="decimal"/>
      <w:lvlText w:val="%7"/>
      <w:lvlJc w:val="left"/>
      <w:pPr>
        <w:ind w:left="451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4BDA673C">
      <w:start w:val="1"/>
      <w:numFmt w:val="lowerLetter"/>
      <w:lvlText w:val="%8"/>
      <w:lvlJc w:val="left"/>
      <w:pPr>
        <w:ind w:left="523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8B4BECA">
      <w:start w:val="1"/>
      <w:numFmt w:val="lowerRoman"/>
      <w:lvlText w:val="%9"/>
      <w:lvlJc w:val="left"/>
      <w:pPr>
        <w:ind w:left="595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F51672F"/>
    <w:multiLevelType w:val="hybridMultilevel"/>
    <w:tmpl w:val="63E0FA5A"/>
    <w:lvl w:ilvl="0" w:tplc="FA2E6EC6">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2392F318">
      <w:start w:val="1"/>
      <w:numFmt w:val="lowerLetter"/>
      <w:lvlText w:val="%2"/>
      <w:lvlJc w:val="left"/>
      <w:pPr>
        <w:ind w:left="135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6CB86A9A">
      <w:start w:val="1"/>
      <w:numFmt w:val="lowerRoman"/>
      <w:lvlText w:val="%3"/>
      <w:lvlJc w:val="left"/>
      <w:pPr>
        <w:ind w:left="207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0BC03698">
      <w:start w:val="1"/>
      <w:numFmt w:val="decimal"/>
      <w:lvlText w:val="%4"/>
      <w:lvlJc w:val="left"/>
      <w:pPr>
        <w:ind w:left="279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B852B9A4">
      <w:start w:val="1"/>
      <w:numFmt w:val="lowerLetter"/>
      <w:lvlText w:val="%5"/>
      <w:lvlJc w:val="left"/>
      <w:pPr>
        <w:ind w:left="351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56765B56">
      <w:start w:val="1"/>
      <w:numFmt w:val="lowerRoman"/>
      <w:lvlText w:val="%6"/>
      <w:lvlJc w:val="left"/>
      <w:pPr>
        <w:ind w:left="423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49D49764">
      <w:start w:val="1"/>
      <w:numFmt w:val="decimal"/>
      <w:lvlText w:val="%7"/>
      <w:lvlJc w:val="left"/>
      <w:pPr>
        <w:ind w:left="495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3B548F40">
      <w:start w:val="1"/>
      <w:numFmt w:val="lowerLetter"/>
      <w:lvlText w:val="%8"/>
      <w:lvlJc w:val="left"/>
      <w:pPr>
        <w:ind w:left="567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2A86AEE2">
      <w:start w:val="1"/>
      <w:numFmt w:val="lowerRoman"/>
      <w:lvlText w:val="%9"/>
      <w:lvlJc w:val="left"/>
      <w:pPr>
        <w:ind w:left="639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5000AC8"/>
    <w:multiLevelType w:val="hybridMultilevel"/>
    <w:tmpl w:val="B4688740"/>
    <w:lvl w:ilvl="0" w:tplc="0268C7F0">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FC2A6230">
      <w:start w:val="1"/>
      <w:numFmt w:val="decimal"/>
      <w:lvlText w:val="(%2)"/>
      <w:lvlJc w:val="left"/>
      <w:pPr>
        <w:ind w:left="106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671047E2">
      <w:start w:val="1"/>
      <w:numFmt w:val="lowerRoman"/>
      <w:lvlText w:val="%3"/>
      <w:lvlJc w:val="left"/>
      <w:pPr>
        <w:ind w:left="163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F9724854">
      <w:start w:val="1"/>
      <w:numFmt w:val="decimal"/>
      <w:lvlText w:val="%4"/>
      <w:lvlJc w:val="left"/>
      <w:pPr>
        <w:ind w:left="235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4FDC193C">
      <w:start w:val="1"/>
      <w:numFmt w:val="lowerLetter"/>
      <w:lvlText w:val="%5"/>
      <w:lvlJc w:val="left"/>
      <w:pPr>
        <w:ind w:left="307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6B588C28">
      <w:start w:val="1"/>
      <w:numFmt w:val="lowerRoman"/>
      <w:lvlText w:val="%6"/>
      <w:lvlJc w:val="left"/>
      <w:pPr>
        <w:ind w:left="379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51DE1C9A">
      <w:start w:val="1"/>
      <w:numFmt w:val="decimal"/>
      <w:lvlText w:val="%7"/>
      <w:lvlJc w:val="left"/>
      <w:pPr>
        <w:ind w:left="451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B840E9A4">
      <w:start w:val="1"/>
      <w:numFmt w:val="lowerLetter"/>
      <w:lvlText w:val="%8"/>
      <w:lvlJc w:val="left"/>
      <w:pPr>
        <w:ind w:left="523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CDFA92C6">
      <w:start w:val="1"/>
      <w:numFmt w:val="lowerRoman"/>
      <w:lvlText w:val="%9"/>
      <w:lvlJc w:val="left"/>
      <w:pPr>
        <w:ind w:left="595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8DB3D3A"/>
    <w:multiLevelType w:val="hybridMultilevel"/>
    <w:tmpl w:val="2BEEAE6C"/>
    <w:lvl w:ilvl="0" w:tplc="DF9C1AD0">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F904AEA4">
      <w:start w:val="1"/>
      <w:numFmt w:val="decimal"/>
      <w:lvlText w:val="(%2)"/>
      <w:lvlJc w:val="left"/>
      <w:pPr>
        <w:ind w:left="106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5F04902E">
      <w:start w:val="1"/>
      <w:numFmt w:val="lowerRoman"/>
      <w:lvlText w:val="%3"/>
      <w:lvlJc w:val="left"/>
      <w:pPr>
        <w:ind w:left="169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D6A4071C">
      <w:start w:val="1"/>
      <w:numFmt w:val="decimal"/>
      <w:lvlText w:val="%4"/>
      <w:lvlJc w:val="left"/>
      <w:pPr>
        <w:ind w:left="241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3154B6F0">
      <w:start w:val="1"/>
      <w:numFmt w:val="lowerLetter"/>
      <w:lvlText w:val="%5"/>
      <w:lvlJc w:val="left"/>
      <w:pPr>
        <w:ind w:left="313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B492D7E2">
      <w:start w:val="1"/>
      <w:numFmt w:val="lowerRoman"/>
      <w:lvlText w:val="%6"/>
      <w:lvlJc w:val="left"/>
      <w:pPr>
        <w:ind w:left="385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B67EB4C2">
      <w:start w:val="1"/>
      <w:numFmt w:val="decimal"/>
      <w:lvlText w:val="%7"/>
      <w:lvlJc w:val="left"/>
      <w:pPr>
        <w:ind w:left="457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87A98B6">
      <w:start w:val="1"/>
      <w:numFmt w:val="lowerLetter"/>
      <w:lvlText w:val="%8"/>
      <w:lvlJc w:val="left"/>
      <w:pPr>
        <w:ind w:left="529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12165A4C">
      <w:start w:val="1"/>
      <w:numFmt w:val="lowerRoman"/>
      <w:lvlText w:val="%9"/>
      <w:lvlJc w:val="left"/>
      <w:pPr>
        <w:ind w:left="601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2E902CC"/>
    <w:multiLevelType w:val="hybridMultilevel"/>
    <w:tmpl w:val="168EC9B6"/>
    <w:lvl w:ilvl="0" w:tplc="EEEA0782">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59709B24">
      <w:start w:val="1"/>
      <w:numFmt w:val="lowerLetter"/>
      <w:lvlText w:val="%2"/>
      <w:lvlJc w:val="left"/>
      <w:pPr>
        <w:ind w:left="127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595A3F2A">
      <w:start w:val="1"/>
      <w:numFmt w:val="lowerRoman"/>
      <w:lvlText w:val="%3"/>
      <w:lvlJc w:val="left"/>
      <w:pPr>
        <w:ind w:left="199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9A5C494E">
      <w:start w:val="1"/>
      <w:numFmt w:val="decimal"/>
      <w:lvlText w:val="%4"/>
      <w:lvlJc w:val="left"/>
      <w:pPr>
        <w:ind w:left="271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9648CA40">
      <w:start w:val="1"/>
      <w:numFmt w:val="lowerLetter"/>
      <w:lvlText w:val="%5"/>
      <w:lvlJc w:val="left"/>
      <w:pPr>
        <w:ind w:left="343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92B23938">
      <w:start w:val="1"/>
      <w:numFmt w:val="lowerRoman"/>
      <w:lvlText w:val="%6"/>
      <w:lvlJc w:val="left"/>
      <w:pPr>
        <w:ind w:left="415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80468406">
      <w:start w:val="1"/>
      <w:numFmt w:val="decimal"/>
      <w:lvlText w:val="%7"/>
      <w:lvlJc w:val="left"/>
      <w:pPr>
        <w:ind w:left="487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3CE20AC2">
      <w:start w:val="1"/>
      <w:numFmt w:val="lowerLetter"/>
      <w:lvlText w:val="%8"/>
      <w:lvlJc w:val="left"/>
      <w:pPr>
        <w:ind w:left="559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33525BA8">
      <w:start w:val="1"/>
      <w:numFmt w:val="lowerRoman"/>
      <w:lvlText w:val="%9"/>
      <w:lvlJc w:val="left"/>
      <w:pPr>
        <w:ind w:left="631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47002DD"/>
    <w:multiLevelType w:val="hybridMultilevel"/>
    <w:tmpl w:val="275C7506"/>
    <w:lvl w:ilvl="0" w:tplc="E5D26DA8">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55F63EB4">
      <w:start w:val="1"/>
      <w:numFmt w:val="decimal"/>
      <w:lvlText w:val="(%2)"/>
      <w:lvlJc w:val="left"/>
      <w:pPr>
        <w:ind w:left="106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EB1670E8">
      <w:start w:val="1"/>
      <w:numFmt w:val="lowerRoman"/>
      <w:lvlText w:val="%3"/>
      <w:lvlJc w:val="left"/>
      <w:pPr>
        <w:ind w:left="169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FAEA7D38">
      <w:start w:val="1"/>
      <w:numFmt w:val="decimal"/>
      <w:lvlText w:val="%4"/>
      <w:lvlJc w:val="left"/>
      <w:pPr>
        <w:ind w:left="241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742B244">
      <w:start w:val="1"/>
      <w:numFmt w:val="lowerLetter"/>
      <w:lvlText w:val="%5"/>
      <w:lvlJc w:val="left"/>
      <w:pPr>
        <w:ind w:left="313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73028CB4">
      <w:start w:val="1"/>
      <w:numFmt w:val="lowerRoman"/>
      <w:lvlText w:val="%6"/>
      <w:lvlJc w:val="left"/>
      <w:pPr>
        <w:ind w:left="385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5FACABA2">
      <w:start w:val="1"/>
      <w:numFmt w:val="decimal"/>
      <w:lvlText w:val="%7"/>
      <w:lvlJc w:val="left"/>
      <w:pPr>
        <w:ind w:left="457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10BEC7EC">
      <w:start w:val="1"/>
      <w:numFmt w:val="lowerLetter"/>
      <w:lvlText w:val="%8"/>
      <w:lvlJc w:val="left"/>
      <w:pPr>
        <w:ind w:left="529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43285AC">
      <w:start w:val="1"/>
      <w:numFmt w:val="lowerRoman"/>
      <w:lvlText w:val="%9"/>
      <w:lvlJc w:val="left"/>
      <w:pPr>
        <w:ind w:left="601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18D17A8"/>
    <w:multiLevelType w:val="hybridMultilevel"/>
    <w:tmpl w:val="6A8ABCC2"/>
    <w:lvl w:ilvl="0" w:tplc="15A22C44">
      <w:start w:val="1"/>
      <w:numFmt w:val="lowerLetter"/>
      <w:lvlText w:val="%1."/>
      <w:lvlJc w:val="left"/>
      <w:pPr>
        <w:ind w:left="70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8EDAD528">
      <w:start w:val="1"/>
      <w:numFmt w:val="decimal"/>
      <w:lvlText w:val="(%2)"/>
      <w:lvlJc w:val="left"/>
      <w:pPr>
        <w:ind w:left="106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E93C2592">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F6E8CE8">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08269AE">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9A262C52">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B186E502">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D68D248">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C5BE851E">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3C950D4"/>
    <w:multiLevelType w:val="hybridMultilevel"/>
    <w:tmpl w:val="553685F4"/>
    <w:lvl w:ilvl="0" w:tplc="653297A6">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319C7504">
      <w:start w:val="1"/>
      <w:numFmt w:val="lowerLetter"/>
      <w:lvlText w:val="%2"/>
      <w:lvlJc w:val="left"/>
      <w:pPr>
        <w:ind w:left="127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8026B630">
      <w:start w:val="1"/>
      <w:numFmt w:val="lowerRoman"/>
      <w:lvlText w:val="%3"/>
      <w:lvlJc w:val="left"/>
      <w:pPr>
        <w:ind w:left="199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F5CC1EB4">
      <w:start w:val="1"/>
      <w:numFmt w:val="decimal"/>
      <w:lvlText w:val="%4"/>
      <w:lvlJc w:val="left"/>
      <w:pPr>
        <w:ind w:left="271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61486AA2">
      <w:start w:val="1"/>
      <w:numFmt w:val="lowerLetter"/>
      <w:lvlText w:val="%5"/>
      <w:lvlJc w:val="left"/>
      <w:pPr>
        <w:ind w:left="343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225C885C">
      <w:start w:val="1"/>
      <w:numFmt w:val="lowerRoman"/>
      <w:lvlText w:val="%6"/>
      <w:lvlJc w:val="left"/>
      <w:pPr>
        <w:ind w:left="415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A89CE640">
      <w:start w:val="1"/>
      <w:numFmt w:val="decimal"/>
      <w:lvlText w:val="%7"/>
      <w:lvlJc w:val="left"/>
      <w:pPr>
        <w:ind w:left="487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A722782E">
      <w:start w:val="1"/>
      <w:numFmt w:val="lowerLetter"/>
      <w:lvlText w:val="%8"/>
      <w:lvlJc w:val="left"/>
      <w:pPr>
        <w:ind w:left="559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E16EF104">
      <w:start w:val="1"/>
      <w:numFmt w:val="lowerRoman"/>
      <w:lvlText w:val="%9"/>
      <w:lvlJc w:val="left"/>
      <w:pPr>
        <w:ind w:left="631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63E336C"/>
    <w:multiLevelType w:val="hybridMultilevel"/>
    <w:tmpl w:val="F5C8BD7C"/>
    <w:lvl w:ilvl="0" w:tplc="BED44652">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3BE638C6">
      <w:start w:val="1"/>
      <w:numFmt w:val="lowerLetter"/>
      <w:lvlText w:val="%2"/>
      <w:lvlJc w:val="left"/>
      <w:pPr>
        <w:ind w:left="14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5A062758">
      <w:start w:val="1"/>
      <w:numFmt w:val="lowerRoman"/>
      <w:lvlText w:val="%3"/>
      <w:lvlJc w:val="left"/>
      <w:pPr>
        <w:ind w:left="21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D6C27F4A">
      <w:start w:val="1"/>
      <w:numFmt w:val="decimal"/>
      <w:lvlText w:val="%4"/>
      <w:lvlJc w:val="left"/>
      <w:pPr>
        <w:ind w:left="28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BE2ADDBE">
      <w:start w:val="1"/>
      <w:numFmt w:val="lowerLetter"/>
      <w:lvlText w:val="%5"/>
      <w:lvlJc w:val="left"/>
      <w:pPr>
        <w:ind w:left="36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4F280A24">
      <w:start w:val="1"/>
      <w:numFmt w:val="lowerRoman"/>
      <w:lvlText w:val="%6"/>
      <w:lvlJc w:val="left"/>
      <w:pPr>
        <w:ind w:left="43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637617D6">
      <w:start w:val="1"/>
      <w:numFmt w:val="decimal"/>
      <w:lvlText w:val="%7"/>
      <w:lvlJc w:val="left"/>
      <w:pPr>
        <w:ind w:left="50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B718B1C6">
      <w:start w:val="1"/>
      <w:numFmt w:val="lowerLetter"/>
      <w:lvlText w:val="%8"/>
      <w:lvlJc w:val="left"/>
      <w:pPr>
        <w:ind w:left="57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AB44D08E">
      <w:start w:val="1"/>
      <w:numFmt w:val="lowerRoman"/>
      <w:lvlText w:val="%9"/>
      <w:lvlJc w:val="left"/>
      <w:pPr>
        <w:ind w:left="64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03A2D27"/>
    <w:multiLevelType w:val="hybridMultilevel"/>
    <w:tmpl w:val="BB8EB9C0"/>
    <w:lvl w:ilvl="0" w:tplc="A63E386E">
      <w:start w:val="1"/>
      <w:numFmt w:val="decimal"/>
      <w:lvlText w:val="(%1)"/>
      <w:lvlJc w:val="left"/>
      <w:pPr>
        <w:ind w:left="106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645C910C">
      <w:start w:val="1"/>
      <w:numFmt w:val="lowerRoman"/>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E33C133C">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55A0514">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53623B04">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61C898A2">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12326FFE">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C88E9FC2">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81A11EE">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3555A63"/>
    <w:multiLevelType w:val="hybridMultilevel"/>
    <w:tmpl w:val="BC64BDC8"/>
    <w:lvl w:ilvl="0" w:tplc="2CCE5C02">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4DE2345E">
      <w:start w:val="1"/>
      <w:numFmt w:val="lowerLetter"/>
      <w:lvlText w:val="%2"/>
      <w:lvlJc w:val="left"/>
      <w:pPr>
        <w:ind w:left="1228"/>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6D60678A">
      <w:start w:val="1"/>
      <w:numFmt w:val="lowerRoman"/>
      <w:lvlText w:val="%3"/>
      <w:lvlJc w:val="left"/>
      <w:pPr>
        <w:ind w:left="1948"/>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ACDE2D08">
      <w:start w:val="1"/>
      <w:numFmt w:val="decimal"/>
      <w:lvlText w:val="%4"/>
      <w:lvlJc w:val="left"/>
      <w:pPr>
        <w:ind w:left="2668"/>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1576CAA0">
      <w:start w:val="1"/>
      <w:numFmt w:val="lowerLetter"/>
      <w:lvlText w:val="%5"/>
      <w:lvlJc w:val="left"/>
      <w:pPr>
        <w:ind w:left="3388"/>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044297BA">
      <w:start w:val="1"/>
      <w:numFmt w:val="lowerRoman"/>
      <w:lvlText w:val="%6"/>
      <w:lvlJc w:val="left"/>
      <w:pPr>
        <w:ind w:left="4108"/>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3EC6BE76">
      <w:start w:val="1"/>
      <w:numFmt w:val="decimal"/>
      <w:lvlText w:val="%7"/>
      <w:lvlJc w:val="left"/>
      <w:pPr>
        <w:ind w:left="4828"/>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366641F6">
      <w:start w:val="1"/>
      <w:numFmt w:val="lowerLetter"/>
      <w:lvlText w:val="%8"/>
      <w:lvlJc w:val="left"/>
      <w:pPr>
        <w:ind w:left="5548"/>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0A9EA5CA">
      <w:start w:val="1"/>
      <w:numFmt w:val="lowerRoman"/>
      <w:lvlText w:val="%9"/>
      <w:lvlJc w:val="left"/>
      <w:pPr>
        <w:ind w:left="6268"/>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5F20FC7"/>
    <w:multiLevelType w:val="hybridMultilevel"/>
    <w:tmpl w:val="DED8B75C"/>
    <w:lvl w:ilvl="0" w:tplc="EACE8186">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5E48606E">
      <w:start w:val="1"/>
      <w:numFmt w:val="decimal"/>
      <w:lvlText w:val="(%2)"/>
      <w:lvlJc w:val="left"/>
      <w:pPr>
        <w:ind w:left="106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CC6E2756">
      <w:start w:val="1"/>
      <w:numFmt w:val="lowerRoman"/>
      <w:lvlText w:val="%3"/>
      <w:lvlJc w:val="left"/>
      <w:pPr>
        <w:ind w:left="163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665EBBFA">
      <w:start w:val="1"/>
      <w:numFmt w:val="decimal"/>
      <w:lvlText w:val="%4"/>
      <w:lvlJc w:val="left"/>
      <w:pPr>
        <w:ind w:left="235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F858D8D8">
      <w:start w:val="1"/>
      <w:numFmt w:val="lowerLetter"/>
      <w:lvlText w:val="%5"/>
      <w:lvlJc w:val="left"/>
      <w:pPr>
        <w:ind w:left="307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700278BE">
      <w:start w:val="1"/>
      <w:numFmt w:val="lowerRoman"/>
      <w:lvlText w:val="%6"/>
      <w:lvlJc w:val="left"/>
      <w:pPr>
        <w:ind w:left="379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730058AE">
      <w:start w:val="1"/>
      <w:numFmt w:val="decimal"/>
      <w:lvlText w:val="%7"/>
      <w:lvlJc w:val="left"/>
      <w:pPr>
        <w:ind w:left="451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66C04F2A">
      <w:start w:val="1"/>
      <w:numFmt w:val="lowerLetter"/>
      <w:lvlText w:val="%8"/>
      <w:lvlJc w:val="left"/>
      <w:pPr>
        <w:ind w:left="523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7DEE90B4">
      <w:start w:val="1"/>
      <w:numFmt w:val="lowerRoman"/>
      <w:lvlText w:val="%9"/>
      <w:lvlJc w:val="left"/>
      <w:pPr>
        <w:ind w:left="595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4"/>
  </w:num>
  <w:num w:numId="3">
    <w:abstractNumId w:val="7"/>
  </w:num>
  <w:num w:numId="4">
    <w:abstractNumId w:val="8"/>
  </w:num>
  <w:num w:numId="5">
    <w:abstractNumId w:val="6"/>
  </w:num>
  <w:num w:numId="6">
    <w:abstractNumId w:val="5"/>
  </w:num>
  <w:num w:numId="7">
    <w:abstractNumId w:val="3"/>
  </w:num>
  <w:num w:numId="8">
    <w:abstractNumId w:val="12"/>
  </w:num>
  <w:num w:numId="9">
    <w:abstractNumId w:val="1"/>
  </w:num>
  <w:num w:numId="10">
    <w:abstractNumId w:val="14"/>
  </w:num>
  <w:num w:numId="11">
    <w:abstractNumId w:val="10"/>
  </w:num>
  <w:num w:numId="12">
    <w:abstractNumId w:val="13"/>
  </w:num>
  <w:num w:numId="13">
    <w:abstractNumId w:val="1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840"/>
    <w:rsid w:val="000F4237"/>
    <w:rsid w:val="00234D67"/>
    <w:rsid w:val="00454591"/>
    <w:rsid w:val="00571840"/>
    <w:rsid w:val="00594E00"/>
    <w:rsid w:val="007C7B8A"/>
    <w:rsid w:val="0093493D"/>
    <w:rsid w:val="00B85FD7"/>
    <w:rsid w:val="00B927C3"/>
    <w:rsid w:val="00CE7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324502"/>
  <w15:docId w15:val="{AB19AC05-259F-426B-A5ED-14A29B90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7"/>
      <w:ind w:left="370" w:hanging="370"/>
      <w:jc w:val="both"/>
    </w:pPr>
    <w:rPr>
      <w:rFonts w:ascii="Segoe UI" w:eastAsia="Segoe UI" w:hAnsi="Segoe UI" w:cs="Segoe UI"/>
      <w:color w:val="000000"/>
      <w:sz w:val="20"/>
    </w:rPr>
  </w:style>
  <w:style w:type="paragraph" w:styleId="Heading1">
    <w:name w:val="heading 1"/>
    <w:next w:val="Normal"/>
    <w:link w:val="Heading1Char"/>
    <w:uiPriority w:val="9"/>
    <w:qFormat/>
    <w:pPr>
      <w:keepNext/>
      <w:keepLines/>
      <w:spacing w:after="29"/>
      <w:ind w:left="10" w:hanging="10"/>
      <w:outlineLvl w:val="0"/>
    </w:pPr>
    <w:rPr>
      <w:rFonts w:ascii="Segoe UI" w:eastAsia="Segoe UI" w:hAnsi="Segoe UI" w:cs="Segoe UI"/>
      <w:color w:val="000000"/>
      <w:sz w:val="32"/>
    </w:rPr>
  </w:style>
  <w:style w:type="paragraph" w:styleId="Heading2">
    <w:name w:val="heading 2"/>
    <w:next w:val="Normal"/>
    <w:link w:val="Heading2Char"/>
    <w:uiPriority w:val="9"/>
    <w:unhideWhenUsed/>
    <w:qFormat/>
    <w:pPr>
      <w:keepNext/>
      <w:keepLines/>
      <w:spacing w:after="212"/>
      <w:ind w:left="24" w:hanging="10"/>
      <w:outlineLvl w:val="1"/>
    </w:pPr>
    <w:rPr>
      <w:rFonts w:ascii="Segoe UI" w:eastAsia="Segoe UI" w:hAnsi="Segoe UI" w:cs="Segoe U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000000"/>
      <w:sz w:val="20"/>
    </w:rPr>
  </w:style>
  <w:style w:type="character" w:customStyle="1" w:styleId="Heading1Char">
    <w:name w:val="Heading 1 Char"/>
    <w:link w:val="Heading1"/>
    <w:rPr>
      <w:rFonts w:ascii="Segoe UI" w:eastAsia="Segoe UI" w:hAnsi="Segoe UI" w:cs="Segoe UI"/>
      <w:color w:val="000000"/>
      <w:sz w:val="32"/>
    </w:rPr>
  </w:style>
  <w:style w:type="paragraph" w:styleId="Header">
    <w:name w:val="header"/>
    <w:basedOn w:val="Normal"/>
    <w:link w:val="HeaderChar"/>
    <w:uiPriority w:val="99"/>
    <w:unhideWhenUsed/>
    <w:rsid w:val="0093493D"/>
    <w:pPr>
      <w:tabs>
        <w:tab w:val="center" w:pos="4419"/>
        <w:tab w:val="right" w:pos="8838"/>
      </w:tabs>
      <w:spacing w:after="0" w:line="240" w:lineRule="auto"/>
    </w:pPr>
  </w:style>
  <w:style w:type="character" w:customStyle="1" w:styleId="HeaderChar">
    <w:name w:val="Header Char"/>
    <w:basedOn w:val="DefaultParagraphFont"/>
    <w:link w:val="Header"/>
    <w:uiPriority w:val="99"/>
    <w:rsid w:val="0093493D"/>
    <w:rPr>
      <w:rFonts w:ascii="Segoe UI" w:eastAsia="Segoe UI" w:hAnsi="Segoe UI" w:cs="Segoe UI"/>
      <w:color w:val="000000"/>
      <w:sz w:val="20"/>
    </w:rPr>
  </w:style>
  <w:style w:type="character" w:styleId="Hyperlink">
    <w:name w:val="Hyperlink"/>
    <w:basedOn w:val="DefaultParagraphFont"/>
    <w:uiPriority w:val="99"/>
    <w:unhideWhenUsed/>
    <w:rsid w:val="00594E00"/>
    <w:rPr>
      <w:color w:val="0563C1" w:themeColor="hyperlink"/>
      <w:u w:val="single"/>
    </w:rPr>
  </w:style>
  <w:style w:type="character" w:styleId="UnresolvedMention">
    <w:name w:val="Unresolved Mention"/>
    <w:basedOn w:val="DefaultParagraphFont"/>
    <w:uiPriority w:val="99"/>
    <w:semiHidden/>
    <w:unhideWhenUsed/>
    <w:rsid w:val="00594E00"/>
    <w:rPr>
      <w:color w:val="605E5C"/>
      <w:shd w:val="clear" w:color="auto" w:fill="E1DFDD"/>
    </w:rPr>
  </w:style>
  <w:style w:type="character" w:styleId="FollowedHyperlink">
    <w:name w:val="FollowedHyperlink"/>
    <w:basedOn w:val="DefaultParagraphFont"/>
    <w:uiPriority w:val="99"/>
    <w:semiHidden/>
    <w:unhideWhenUsed/>
    <w:rsid w:val="00594E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microsoft.com/en-us/legal/intellectualproperty/trademarks/usage/general.aspx" TargetMode="External"/><Relationship Id="rId18" Type="http://schemas.openxmlformats.org/officeDocument/2006/relationships/image" Target="media/image6.png"/><Relationship Id="rId26" Type="http://schemas.openxmlformats.org/officeDocument/2006/relationships/hyperlink" Target="https://assetsprod.microsoft.com/country-specific-provisions-mpn.pdf" TargetMode="External"/><Relationship Id="rId39" Type="http://schemas.openxmlformats.org/officeDocument/2006/relationships/footer" Target="footer6.xml"/><Relationship Id="rId21" Type="http://schemas.openxmlformats.org/officeDocument/2006/relationships/image" Target="media/image8.png"/><Relationship Id="rId34" Type="http://schemas.openxmlformats.org/officeDocument/2006/relationships/hyperlink" Target="https://assetsprod.microsoft.com/alternative-terms-for-incentives.pdf"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partners.fenix-alliance.com" TargetMode="External"/><Relationship Id="rId29" Type="http://schemas.openxmlformats.org/officeDocument/2006/relationships/footer" Target="footer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2.png"/><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microsoft.com/en-us/legal/intellectualproperty/trademarks/usage/general.aspx" TargetMode="External"/><Relationship Id="rId23" Type="http://schemas.openxmlformats.org/officeDocument/2006/relationships/image" Target="media/image10.png"/><Relationship Id="rId28" Type="http://schemas.openxmlformats.org/officeDocument/2006/relationships/hyperlink" Target="https://assetsprod.microsoft.com/country-specific-provisions-mpn.pdf" TargetMode="External"/><Relationship Id="rId36" Type="http://schemas.openxmlformats.org/officeDocument/2006/relationships/hyperlink" Target="https://assetsprod.microsoft.com/alternative-terms-for-incentives.pdf"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icrosoft.com/en-us/legal/intellectualproperty/trademarks/usage/general.aspx" TargetMode="External"/><Relationship Id="rId22" Type="http://schemas.openxmlformats.org/officeDocument/2006/relationships/image" Target="media/image9.png"/><Relationship Id="rId27" Type="http://schemas.openxmlformats.org/officeDocument/2006/relationships/hyperlink" Target="https://assetsprod.microsoft.com/country-specific-provisions-mpn.pdf" TargetMode="External"/><Relationship Id="rId30" Type="http://schemas.openxmlformats.org/officeDocument/2006/relationships/footer" Target="footer2.xml"/><Relationship Id="rId35" Type="http://schemas.openxmlformats.org/officeDocument/2006/relationships/hyperlink" Target="https://assetsprod.microsoft.com/alternative-terms-for-incentives.pdf"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assetsprod.microsoft.com/country-specific-provisions-mpn.pdf" TargetMode="External"/><Relationship Id="rId33" Type="http://schemas.openxmlformats.org/officeDocument/2006/relationships/hyperlink" Target="https://assetsprod.microsoft.com/alternative-terms-for-incentives.pdf" TargetMode="External"/><Relationship Id="rId3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76E94B-FF5A-4FEA-AEA4-FEC31F1C9A05}"/>
</file>

<file path=customXml/itemProps2.xml><?xml version="1.0" encoding="utf-8"?>
<ds:datastoreItem xmlns:ds="http://schemas.openxmlformats.org/officeDocument/2006/customXml" ds:itemID="{7F46A8D5-B94C-48DD-A376-3CD30DE0194F}">
  <ds:schemaRefs>
    <ds:schemaRef ds:uri="fa88a81c-5a70-4e3f-81bc-3bbfd0f61988"/>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terms/"/>
    <ds:schemaRef ds:uri="http://purl.org/dc/elements/1.1/"/>
  </ds:schemaRefs>
</ds:datastoreItem>
</file>

<file path=customXml/itemProps3.xml><?xml version="1.0" encoding="utf-8"?>
<ds:datastoreItem xmlns:ds="http://schemas.openxmlformats.org/officeDocument/2006/customXml" ds:itemID="{B16669EF-73FC-4F72-BE57-A0C8649D83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14</Pages>
  <Words>6236</Words>
  <Characters>35549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cp:lastModifiedBy>Daniel Lozano Navas</cp:lastModifiedBy>
  <cp:revision>4</cp:revision>
  <dcterms:created xsi:type="dcterms:W3CDTF">2020-08-03T07:36:00Z</dcterms:created>
  <dcterms:modified xsi:type="dcterms:W3CDTF">2020-09-20T23:04:00Z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