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52BD" w14:textId="0B31C680" w:rsidR="00D86B68" w:rsidRPr="00575188" w:rsidRDefault="00575188" w:rsidP="002C02F1">
      <w:pPr>
        <w:pStyle w:val="Heading1"/>
        <w:rPr>
          <w:rFonts w:ascii="Segoe UI Light" w:hAnsi="Segoe UI Light" w:cs="Segoe UI Light"/>
          <w:color w:val="2E74B5" w:themeColor="accent5" w:themeShade="BF"/>
          <w:sz w:val="24"/>
          <w:szCs w:val="18"/>
          <w:lang w:val="es-CO"/>
        </w:rPr>
      </w:pPr>
      <w:r w:rsidRPr="00575188">
        <w:rPr>
          <w:rFonts w:ascii="Segoe UI Light" w:hAnsi="Segoe UI Light" w:cs="Segoe UI Light"/>
          <w:color w:val="2E74B5" w:themeColor="accent5" w:themeShade="BF"/>
          <w:sz w:val="24"/>
          <w:szCs w:val="18"/>
          <w:lang w:val="es-CO"/>
        </w:rPr>
        <w:t xml:space="preserve">Apéndice </w:t>
      </w:r>
      <w:r w:rsidRPr="00575188">
        <w:rPr>
          <w:rFonts w:ascii="Segoe UI Light" w:hAnsi="Segoe UI Light" w:cs="Segoe UI Light"/>
          <w:color w:val="2E74B5" w:themeColor="accent5" w:themeShade="BF"/>
          <w:sz w:val="24"/>
          <w:szCs w:val="18"/>
          <w:lang w:val="es-CO"/>
        </w:rPr>
        <w:t xml:space="preserve">A.1: </w:t>
      </w:r>
      <w:r w:rsidR="00D86B68" w:rsidRPr="00575188">
        <w:rPr>
          <w:rFonts w:ascii="Segoe UI Light" w:hAnsi="Segoe UI Light" w:cs="Segoe UI Light"/>
          <w:color w:val="2E74B5" w:themeColor="accent5" w:themeShade="BF"/>
          <w:sz w:val="24"/>
          <w:szCs w:val="18"/>
          <w:lang w:val="es-CO"/>
        </w:rPr>
        <w:t xml:space="preserve">Términos adicionales para los programas de la </w:t>
      </w:r>
      <w:r w:rsidR="001A0271" w:rsidRPr="00575188">
        <w:rPr>
          <w:rFonts w:ascii="Segoe UI Light" w:hAnsi="Segoe UI Light" w:cs="Segoe UI Light"/>
          <w:color w:val="2E74B5" w:themeColor="accent5" w:themeShade="BF"/>
          <w:sz w:val="24"/>
          <w:szCs w:val="18"/>
          <w:lang w:val="es-CO"/>
        </w:rPr>
        <w:t>R</w:t>
      </w:r>
      <w:r w:rsidR="00D86B68" w:rsidRPr="00575188">
        <w:rPr>
          <w:rFonts w:ascii="Segoe UI Light" w:hAnsi="Segoe UI Light" w:cs="Segoe UI Light"/>
          <w:color w:val="2E74B5" w:themeColor="accent5" w:themeShade="BF"/>
          <w:sz w:val="24"/>
          <w:szCs w:val="18"/>
          <w:lang w:val="es-CO"/>
        </w:rPr>
        <w:t xml:space="preserve">ed de </w:t>
      </w:r>
      <w:r w:rsidR="00B77997" w:rsidRPr="00575188">
        <w:rPr>
          <w:rFonts w:ascii="Segoe UI Light" w:hAnsi="Segoe UI Light" w:cs="Segoe UI Light"/>
          <w:color w:val="2E74B5" w:themeColor="accent5" w:themeShade="BF"/>
          <w:sz w:val="24"/>
          <w:szCs w:val="18"/>
          <w:lang w:val="es-CO"/>
        </w:rPr>
        <w:t>Asesores de Confianza de Fenix Alliance</w:t>
      </w:r>
      <w:r w:rsidRPr="00575188">
        <w:rPr>
          <w:rFonts w:ascii="Segoe UI Light" w:hAnsi="Segoe UI Light" w:cs="Segoe UI Light"/>
          <w:color w:val="2E74B5" w:themeColor="accent5" w:themeShade="BF"/>
          <w:sz w:val="24"/>
          <w:szCs w:val="18"/>
          <w:lang w:val="es-CO"/>
        </w:rPr>
        <w:t>.</w:t>
      </w:r>
    </w:p>
    <w:p w14:paraId="30F75007" w14:textId="77777777" w:rsidR="00575188" w:rsidRPr="00575188" w:rsidRDefault="00575188" w:rsidP="00575188">
      <w:pPr>
        <w:rPr>
          <w:lang w:val="es-CO"/>
        </w:rPr>
      </w:pPr>
      <w:bookmarkStart w:id="0" w:name="_GoBack"/>
      <w:bookmarkEnd w:id="0"/>
    </w:p>
    <w:p w14:paraId="1FAAFC1F" w14:textId="3A963A95" w:rsidR="00D86B68" w:rsidRPr="00EE11C3" w:rsidRDefault="00D86B68" w:rsidP="001A0271">
      <w:pPr>
        <w:spacing w:after="272"/>
        <w:ind w:left="0" w:firstLine="0"/>
        <w:rPr>
          <w:rFonts w:ascii="Segoe UI Light" w:hAnsi="Segoe UI Light" w:cs="Segoe UI Light"/>
          <w:sz w:val="24"/>
          <w:szCs w:val="24"/>
        </w:rPr>
      </w:pPr>
      <w:r w:rsidRPr="00EE11C3">
        <w:rPr>
          <w:rFonts w:ascii="Segoe UI Light" w:hAnsi="Segoe UI Light" w:cs="Segoe UI Light"/>
          <w:sz w:val="24"/>
          <w:szCs w:val="24"/>
          <w:lang w:val="es"/>
        </w:rPr>
        <w:t xml:space="preserve">Estos Términos Adicionales para los Programas de la </w:t>
      </w:r>
      <w:r w:rsidR="001A0271">
        <w:rPr>
          <w:rFonts w:ascii="Segoe UI Light" w:hAnsi="Segoe UI Light" w:cs="Segoe UI Light"/>
          <w:sz w:val="24"/>
          <w:szCs w:val="24"/>
        </w:rPr>
        <w:t xml:space="preserve">Red de Asesores de Confianza de Fenix Alliance </w:t>
      </w:r>
      <w:r w:rsidRPr="00EE11C3">
        <w:rPr>
          <w:rFonts w:ascii="Segoe UI Light" w:hAnsi="Segoe UI Light" w:cs="Segoe UI Light"/>
          <w:sz w:val="24"/>
          <w:szCs w:val="24"/>
          <w:lang w:val="es"/>
        </w:rPr>
        <w:t xml:space="preserve">se aplican a su participación en cualquier Programa u Oferta de </w:t>
      </w:r>
      <w:r w:rsidR="001A0271">
        <w:rPr>
          <w:rFonts w:ascii="Segoe UI Light" w:hAnsi="Segoe UI Light" w:cs="Segoe UI Light"/>
          <w:sz w:val="24"/>
          <w:szCs w:val="24"/>
          <w:lang w:val="es"/>
        </w:rPr>
        <w:t xml:space="preserve">la </w:t>
      </w:r>
      <w:r w:rsidR="001A0271">
        <w:rPr>
          <w:rFonts w:ascii="Segoe UI Light" w:hAnsi="Segoe UI Light" w:cs="Segoe UI Light"/>
          <w:sz w:val="24"/>
          <w:szCs w:val="24"/>
        </w:rPr>
        <w:t xml:space="preserve">Red de Asesores de Confianza de Fenix Alliance </w:t>
      </w:r>
      <w:r w:rsidRPr="00EE11C3">
        <w:rPr>
          <w:rFonts w:ascii="Segoe UI Light" w:hAnsi="Segoe UI Light" w:cs="Segoe UI Light"/>
          <w:sz w:val="24"/>
          <w:szCs w:val="24"/>
          <w:lang w:val="es"/>
        </w:rPr>
        <w:t>(tal como se define en el Acuerdo).</w:t>
      </w:r>
    </w:p>
    <w:p w14:paraId="7D96F478" w14:textId="77777777" w:rsidR="00D86B68" w:rsidRPr="00EE11C3" w:rsidRDefault="00D86B68" w:rsidP="001A0271">
      <w:pPr>
        <w:pStyle w:val="Heading2"/>
        <w:ind w:left="9"/>
        <w:jc w:val="both"/>
        <w:rPr>
          <w:rFonts w:ascii="Segoe UI Light" w:hAnsi="Segoe UI Light" w:cs="Segoe UI Light"/>
          <w:sz w:val="24"/>
          <w:szCs w:val="24"/>
        </w:rPr>
      </w:pPr>
      <w:r w:rsidRPr="00EE11C3">
        <w:rPr>
          <w:rFonts w:ascii="Segoe UI Light" w:hAnsi="Segoe UI Light" w:cs="Segoe UI Light"/>
          <w:noProof/>
          <w:sz w:val="24"/>
          <w:szCs w:val="24"/>
          <w:lang w:val="es"/>
        </w:rPr>
        <w:drawing>
          <wp:inline distT="0" distB="0" distL="0" distR="0" wp14:anchorId="539E42B6" wp14:editId="79723155">
            <wp:extent cx="95250" cy="99822"/>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0"/>
                    <a:stretch>
                      <a:fillRect/>
                    </a:stretch>
                  </pic:blipFill>
                  <pic:spPr>
                    <a:xfrm>
                      <a:off x="0" y="0"/>
                      <a:ext cx="95250" cy="99822"/>
                    </a:xfrm>
                    <a:prstGeom prst="rect">
                      <a:avLst/>
                    </a:prstGeom>
                  </pic:spPr>
                </pic:pic>
              </a:graphicData>
            </a:graphic>
          </wp:inline>
        </w:drawing>
      </w:r>
      <w:r w:rsidRPr="00EE11C3">
        <w:rPr>
          <w:rFonts w:ascii="Segoe UI Light" w:hAnsi="Segoe UI Light" w:cs="Segoe UI Light"/>
          <w:sz w:val="24"/>
          <w:szCs w:val="24"/>
          <w:lang w:val="es"/>
        </w:rPr>
        <w:t xml:space="preserve"> Participación de Afiliados </w:t>
      </w:r>
    </w:p>
    <w:p w14:paraId="232D9D2D" w14:textId="01FA593E" w:rsidR="00D86B68" w:rsidRPr="00EE11C3" w:rsidRDefault="00D86B68" w:rsidP="001A0271">
      <w:pPr>
        <w:numPr>
          <w:ilvl w:val="0"/>
          <w:numId w:val="1"/>
        </w:numPr>
        <w:spacing w:after="235"/>
        <w:ind w:hanging="360"/>
        <w:rPr>
          <w:rFonts w:ascii="Segoe UI Light" w:hAnsi="Segoe UI Light" w:cs="Segoe UI Light"/>
          <w:sz w:val="24"/>
          <w:szCs w:val="24"/>
        </w:rPr>
      </w:pPr>
      <w:r w:rsidRPr="00EE11C3">
        <w:rPr>
          <w:rFonts w:ascii="Segoe UI Light" w:hAnsi="Segoe UI Light" w:cs="Segoe UI Light"/>
          <w:sz w:val="24"/>
          <w:szCs w:val="24"/>
          <w:lang w:val="es"/>
        </w:rPr>
        <w:t xml:space="preserve">Sujeto a las limitaciones establecidas en </w:t>
      </w:r>
      <w:r w:rsidR="002C02F1">
        <w:rPr>
          <w:rFonts w:ascii="Segoe UI Light" w:hAnsi="Segoe UI Light" w:cs="Segoe UI Light"/>
          <w:sz w:val="24"/>
          <w:szCs w:val="24"/>
          <w:lang w:val="es"/>
        </w:rPr>
        <w:t>las</w:t>
      </w:r>
      <w:r w:rsidRPr="00EE11C3">
        <w:rPr>
          <w:rFonts w:ascii="Segoe UI Light" w:hAnsi="Segoe UI Light" w:cs="Segoe UI Light"/>
          <w:sz w:val="24"/>
          <w:szCs w:val="24"/>
          <w:lang w:val="es"/>
        </w:rPr>
        <w:t xml:space="preserve"> Guía</w:t>
      </w:r>
      <w:r w:rsidR="002C02F1">
        <w:rPr>
          <w:rFonts w:ascii="Segoe UI Light" w:hAnsi="Segoe UI Light" w:cs="Segoe UI Light"/>
          <w:sz w:val="24"/>
          <w:szCs w:val="24"/>
          <w:lang w:val="es"/>
        </w:rPr>
        <w:t>s</w:t>
      </w:r>
      <w:r w:rsidRPr="00EE11C3">
        <w:rPr>
          <w:rFonts w:ascii="Segoe UI Light" w:hAnsi="Segoe UI Light" w:cs="Segoe UI Light"/>
          <w:sz w:val="24"/>
          <w:szCs w:val="24"/>
          <w:lang w:val="es"/>
        </w:rPr>
        <w:t xml:space="preserve"> del Programa, su Personal y los de sus Afiliados pueden participar en un Programa de </w:t>
      </w:r>
      <w:r w:rsidR="001A0271">
        <w:rPr>
          <w:rFonts w:ascii="Segoe UI Light" w:hAnsi="Segoe UI Light" w:cs="Segoe UI Light"/>
          <w:sz w:val="24"/>
          <w:szCs w:val="24"/>
          <w:lang w:val="es"/>
        </w:rPr>
        <w:t xml:space="preserve">Red de Asesores de Confianza de Fenix Alliance </w:t>
      </w:r>
      <w:r w:rsidR="001A0271" w:rsidRPr="00EE11C3">
        <w:rPr>
          <w:rFonts w:ascii="Segoe UI Light" w:hAnsi="Segoe UI Light" w:cs="Segoe UI Light"/>
          <w:sz w:val="24"/>
          <w:szCs w:val="24"/>
          <w:lang w:val="es"/>
        </w:rPr>
        <w:t>bajo</w:t>
      </w:r>
      <w:r w:rsidRPr="00EE11C3">
        <w:rPr>
          <w:rFonts w:ascii="Segoe UI Light" w:hAnsi="Segoe UI Light" w:cs="Segoe UI Light"/>
          <w:sz w:val="24"/>
          <w:szCs w:val="24"/>
          <w:lang w:val="es"/>
        </w:rPr>
        <w:t xml:space="preserve"> su membresía y cualquier ID de </w:t>
      </w:r>
      <w:r w:rsidR="002C02F1">
        <w:rPr>
          <w:rFonts w:ascii="Segoe UI Light" w:hAnsi="Segoe UI Light" w:cs="Segoe UI Light"/>
          <w:sz w:val="24"/>
          <w:szCs w:val="24"/>
          <w:lang w:val="es"/>
        </w:rPr>
        <w:t xml:space="preserve">la </w:t>
      </w:r>
      <w:r w:rsidR="001A0271">
        <w:rPr>
          <w:rFonts w:ascii="Segoe UI Light" w:hAnsi="Segoe UI Light" w:cs="Segoe UI Light"/>
          <w:sz w:val="24"/>
          <w:szCs w:val="24"/>
          <w:lang w:val="es"/>
        </w:rPr>
        <w:t xml:space="preserve">Red de Asesores de Confianza de Fenix Alliance </w:t>
      </w:r>
      <w:r w:rsidR="001A0271" w:rsidRPr="00EE11C3">
        <w:rPr>
          <w:rFonts w:ascii="Segoe UI Light" w:hAnsi="Segoe UI Light" w:cs="Segoe UI Light"/>
          <w:sz w:val="24"/>
          <w:szCs w:val="24"/>
          <w:lang w:val="es"/>
        </w:rPr>
        <w:t>asignado</w:t>
      </w:r>
      <w:r w:rsidRPr="00EE11C3">
        <w:rPr>
          <w:rFonts w:ascii="Segoe UI Light" w:hAnsi="Segoe UI Light" w:cs="Segoe UI Light"/>
          <w:sz w:val="24"/>
          <w:szCs w:val="24"/>
          <w:lang w:val="es"/>
        </w:rPr>
        <w:t xml:space="preserve"> a usted. Debe denegar de inmediato el acceso a cualquier Personal que ya no esté asociado con usted o con su Afiliado. Usted es el único responsable de la actividad que ocurra bajo su membresía y/o ID de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y cualquier incumplimiento de este Acuerdo o de los Términos Adicionales por parte de cualquiera de su Personal o el de sus Afiliados se considerará un incumplimiento </w:t>
      </w:r>
      <w:r w:rsidR="002C02F1">
        <w:rPr>
          <w:rFonts w:ascii="Segoe UI Light" w:hAnsi="Segoe UI Light" w:cs="Segoe UI Light"/>
          <w:sz w:val="24"/>
          <w:szCs w:val="24"/>
          <w:lang w:val="es"/>
        </w:rPr>
        <w:t>material de este acuerdo por su parte</w:t>
      </w:r>
      <w:r w:rsidRPr="00EE11C3">
        <w:rPr>
          <w:rFonts w:ascii="Segoe UI Light" w:hAnsi="Segoe UI Light" w:cs="Segoe UI Light"/>
          <w:sz w:val="24"/>
          <w:szCs w:val="24"/>
          <w:lang w:val="es"/>
        </w:rPr>
        <w:t xml:space="preserve">.  </w:t>
      </w:r>
    </w:p>
    <w:p w14:paraId="27F38B4F" w14:textId="77777777" w:rsidR="00D86B68" w:rsidRPr="00EE11C3" w:rsidRDefault="00D86B68" w:rsidP="001A0271">
      <w:pPr>
        <w:numPr>
          <w:ilvl w:val="0"/>
          <w:numId w:val="1"/>
        </w:numPr>
        <w:spacing w:after="235"/>
        <w:ind w:hanging="360"/>
        <w:rPr>
          <w:rFonts w:ascii="Segoe UI Light" w:hAnsi="Segoe UI Light" w:cs="Segoe UI Light"/>
          <w:sz w:val="24"/>
          <w:szCs w:val="24"/>
        </w:rPr>
      </w:pPr>
      <w:r w:rsidRPr="00EE11C3">
        <w:rPr>
          <w:rFonts w:ascii="Segoe UI Light" w:hAnsi="Segoe UI Light" w:cs="Segoe UI Light"/>
          <w:sz w:val="24"/>
          <w:szCs w:val="24"/>
          <w:lang w:val="es"/>
        </w:rPr>
        <w:t xml:space="preserve">Fenix Alliance puede ceder estos Términos Adicionales (o delegar ciertos deberes) a un Afiliado de Fenix Alliance en cualquier momento con 30 días de anticipación, siempre que dicha asignación o delegación no menoscabe materialmente sus derechos y recursos bajo estos Términos Adicionales. Excepto por dicho derecho, ninguna de las partes puede ceder estos Términos Adicionales (ya sea por fusión, venta de activos, operación de la ley o de otra manera) sin la aprobación previa por escrito de la otra parte, y cualquier intento de cesión en violación de esta Sección no tendrá ningún efecto. </w:t>
      </w:r>
    </w:p>
    <w:p w14:paraId="453425DF" w14:textId="3BD3E058" w:rsidR="00D86B68" w:rsidRPr="00EE11C3" w:rsidRDefault="00D86B68" w:rsidP="001A0271">
      <w:pPr>
        <w:numPr>
          <w:ilvl w:val="0"/>
          <w:numId w:val="1"/>
        </w:numPr>
        <w:spacing w:after="271"/>
        <w:ind w:hanging="360"/>
        <w:rPr>
          <w:rFonts w:ascii="Segoe UI Light" w:hAnsi="Segoe UI Light" w:cs="Segoe UI Light"/>
          <w:sz w:val="24"/>
          <w:szCs w:val="24"/>
        </w:rPr>
      </w:pPr>
      <w:r w:rsidRPr="00EE11C3">
        <w:rPr>
          <w:rFonts w:ascii="Segoe UI Light" w:hAnsi="Segoe UI Light" w:cs="Segoe UI Light"/>
          <w:sz w:val="24"/>
          <w:szCs w:val="24"/>
          <w:lang w:val="es"/>
        </w:rPr>
        <w:t xml:space="preserve">No obstante, lo dispuesto en la Sección </w:t>
      </w:r>
      <w:r w:rsidR="002C02F1">
        <w:rPr>
          <w:rFonts w:ascii="Segoe UI Light" w:hAnsi="Segoe UI Light" w:cs="Segoe UI Light"/>
          <w:sz w:val="24"/>
          <w:szCs w:val="24"/>
          <w:lang w:val="es"/>
        </w:rPr>
        <w:t>9.19</w:t>
      </w:r>
      <w:r w:rsidRPr="00EE11C3">
        <w:rPr>
          <w:rFonts w:ascii="Segoe UI Light" w:hAnsi="Segoe UI Light" w:cs="Segoe UI Light"/>
          <w:sz w:val="24"/>
          <w:szCs w:val="24"/>
          <w:lang w:val="es"/>
        </w:rPr>
        <w:t xml:space="preserve"> del Acuerdo de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los términos de un Programa pueden designar a un Afiliado de Fenix Alliance como entidad contratante de Fenix Alliance para ese programa.  Si un Programa es emitido por un Afiliado de Fenix Alliance, los términos del Acuerdo se aplicarán y se incorporarán a dicho Programa y la Compañía acepta que el Programa será estrictamente entre el Afiliado y la Empresa de Fenix Alliance y Fenix Alliance no tendrá responsabilidad alguna por dicho Programa.  En el caso de que un Afiliado de Fenix Alliance emita un </w:t>
      </w:r>
      <w:r w:rsidRPr="00EE11C3">
        <w:rPr>
          <w:rFonts w:ascii="Segoe UI Light" w:hAnsi="Segoe UI Light" w:cs="Segoe UI Light"/>
          <w:sz w:val="24"/>
          <w:szCs w:val="24"/>
          <w:lang w:val="es"/>
        </w:rPr>
        <w:lastRenderedPageBreak/>
        <w:t>Programa, la Ley y Jurisdicción Aplicables se basarán en la ubicación del Afiliado de Fenix Alliance</w:t>
      </w:r>
    </w:p>
    <w:p w14:paraId="7C9DC37C" w14:textId="77777777" w:rsidR="00D86B68" w:rsidRPr="00EE11C3" w:rsidRDefault="00D86B68" w:rsidP="001A0271">
      <w:pPr>
        <w:pStyle w:val="Heading2"/>
        <w:ind w:left="9"/>
        <w:jc w:val="both"/>
        <w:rPr>
          <w:rFonts w:ascii="Segoe UI Light" w:hAnsi="Segoe UI Light" w:cs="Segoe UI Light"/>
          <w:sz w:val="24"/>
          <w:szCs w:val="24"/>
        </w:rPr>
      </w:pPr>
      <w:r w:rsidRPr="00EE11C3">
        <w:rPr>
          <w:rFonts w:ascii="Segoe UI Light" w:hAnsi="Segoe UI Light" w:cs="Segoe UI Light"/>
          <w:noProof/>
          <w:sz w:val="24"/>
          <w:szCs w:val="24"/>
          <w:lang w:val="es"/>
        </w:rPr>
        <w:drawing>
          <wp:inline distT="0" distB="0" distL="0" distR="0" wp14:anchorId="2CDB7554" wp14:editId="7A30DD45">
            <wp:extent cx="102870" cy="99822"/>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1"/>
                    <a:stretch>
                      <a:fillRect/>
                    </a:stretch>
                  </pic:blipFill>
                  <pic:spPr>
                    <a:xfrm>
                      <a:off x="0" y="0"/>
                      <a:ext cx="102870" cy="99822"/>
                    </a:xfrm>
                    <a:prstGeom prst="rect">
                      <a:avLst/>
                    </a:prstGeom>
                  </pic:spPr>
                </pic:pic>
              </a:graphicData>
            </a:graphic>
          </wp:inline>
        </w:drawing>
      </w:r>
      <w:r w:rsidRPr="00EE11C3">
        <w:rPr>
          <w:rFonts w:ascii="Segoe UI Light" w:hAnsi="Segoe UI Light" w:cs="Segoe UI Light"/>
          <w:sz w:val="24"/>
          <w:szCs w:val="24"/>
          <w:lang w:val="es"/>
        </w:rPr>
        <w:t xml:space="preserve"> Programas </w:t>
      </w:r>
    </w:p>
    <w:p w14:paraId="4B616654" w14:textId="77777777" w:rsidR="00D86B68" w:rsidRPr="00EE11C3" w:rsidRDefault="00D86B68" w:rsidP="001A0271">
      <w:pPr>
        <w:numPr>
          <w:ilvl w:val="0"/>
          <w:numId w:val="2"/>
        </w:numPr>
        <w:spacing w:after="235"/>
        <w:ind w:hanging="360"/>
        <w:rPr>
          <w:rFonts w:ascii="Segoe UI Light" w:hAnsi="Segoe UI Light" w:cs="Segoe UI Light"/>
          <w:sz w:val="24"/>
          <w:szCs w:val="24"/>
        </w:rPr>
      </w:pPr>
      <w:r w:rsidRPr="00EE11C3">
        <w:rPr>
          <w:rFonts w:ascii="Segoe UI Light" w:hAnsi="Segoe UI Light" w:cs="Segoe UI Light"/>
          <w:sz w:val="24"/>
          <w:szCs w:val="24"/>
          <w:lang w:val="es"/>
        </w:rPr>
        <w:t xml:space="preserve">La Guía del Programa describirá o identificará la elegibilidad, los criterios, la duración del plazo y otros términos y condiciones aplicables al Programa.  La Guía del programa y los documentos relacionados pueden entregarse directamente a la Empresa o publicarse en un Portal de socios.  </w:t>
      </w:r>
    </w:p>
    <w:p w14:paraId="729F8F23" w14:textId="28E7506E" w:rsidR="00D86B68" w:rsidRPr="005C7006" w:rsidRDefault="00D86B68" w:rsidP="001A0271">
      <w:pPr>
        <w:numPr>
          <w:ilvl w:val="0"/>
          <w:numId w:val="2"/>
        </w:numPr>
        <w:spacing w:after="1"/>
        <w:ind w:hanging="360"/>
        <w:rPr>
          <w:rFonts w:ascii="Segoe UI Light" w:hAnsi="Segoe UI Light" w:cs="Segoe UI Light"/>
          <w:sz w:val="24"/>
          <w:szCs w:val="24"/>
        </w:rPr>
      </w:pPr>
      <w:r w:rsidRPr="00EE11C3">
        <w:rPr>
          <w:rFonts w:ascii="Segoe UI Light" w:hAnsi="Segoe UI Light" w:cs="Segoe UI Light"/>
          <w:sz w:val="24"/>
          <w:szCs w:val="24"/>
          <w:lang w:val="es"/>
        </w:rPr>
        <w:t xml:space="preserve">Para participar en un Programa, Empresa o Afiliado de la Empresa, según corresponda, debe cumplir con los criterios de elegibilidad del Programa, cumplir y cumplir con los términos del Programa, y debe cumplir con cualquier acuerdo, Guía u otra documentación separada que pueda ser un requisito para el Programa. </w:t>
      </w:r>
    </w:p>
    <w:p w14:paraId="4D0556D0" w14:textId="77777777" w:rsidR="005C7006" w:rsidRPr="00EE11C3" w:rsidRDefault="005C7006" w:rsidP="005C7006">
      <w:pPr>
        <w:spacing w:after="1"/>
        <w:ind w:left="720" w:firstLine="0"/>
        <w:rPr>
          <w:rFonts w:ascii="Segoe UI Light" w:hAnsi="Segoe UI Light" w:cs="Segoe UI Light"/>
          <w:sz w:val="24"/>
          <w:szCs w:val="24"/>
        </w:rPr>
      </w:pPr>
    </w:p>
    <w:p w14:paraId="6E431DC2" w14:textId="77777777" w:rsidR="00D86B68" w:rsidRPr="00EE11C3" w:rsidRDefault="00D86B68" w:rsidP="001A0271">
      <w:pPr>
        <w:spacing w:after="235"/>
        <w:ind w:left="705" w:firstLine="0"/>
        <w:rPr>
          <w:rFonts w:ascii="Segoe UI Light" w:hAnsi="Segoe UI Light" w:cs="Segoe UI Light"/>
          <w:sz w:val="24"/>
          <w:szCs w:val="24"/>
        </w:rPr>
      </w:pPr>
      <w:r w:rsidRPr="00EE11C3">
        <w:rPr>
          <w:rFonts w:ascii="Segoe UI Light" w:hAnsi="Segoe UI Light" w:cs="Segoe UI Light"/>
          <w:sz w:val="24"/>
          <w:szCs w:val="24"/>
          <w:lang w:val="es"/>
        </w:rPr>
        <w:t xml:space="preserve">La participación de la Empresa es voluntaria. </w:t>
      </w:r>
    </w:p>
    <w:p w14:paraId="1FD998FC" w14:textId="77777777" w:rsidR="00D86B68" w:rsidRPr="00EE11C3" w:rsidRDefault="00D86B68" w:rsidP="001A0271">
      <w:pPr>
        <w:numPr>
          <w:ilvl w:val="0"/>
          <w:numId w:val="2"/>
        </w:numPr>
        <w:spacing w:after="235"/>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Programas de venta conjunta</w:t>
      </w:r>
      <w:r w:rsidRPr="00EE11C3">
        <w:rPr>
          <w:rFonts w:ascii="Segoe UI Light" w:hAnsi="Segoe UI Light" w:cs="Segoe UI Light"/>
          <w:sz w:val="24"/>
          <w:szCs w:val="24"/>
          <w:lang w:val="es"/>
        </w:rPr>
        <w:t xml:space="preserve">. Si participa en un programa de co-venta de socios, Fenix Alliance puede compartir información del cliente con usted, que puede incluir Datos personales, como información de contacto del cliente. Solo debe utilizar la información de contacto del cliente y cualquier otro dato personal del cliente: </w:t>
      </w:r>
    </w:p>
    <w:p w14:paraId="79CEB89C" w14:textId="77777777" w:rsidR="00D86B68" w:rsidRPr="00EE11C3" w:rsidRDefault="00D86B68" w:rsidP="001A0271">
      <w:pPr>
        <w:numPr>
          <w:ilvl w:val="1"/>
          <w:numId w:val="2"/>
        </w:numPr>
        <w:spacing w:after="0"/>
        <w:ind w:hanging="360"/>
        <w:rPr>
          <w:rFonts w:ascii="Segoe UI Light" w:hAnsi="Segoe UI Light" w:cs="Segoe UI Light"/>
          <w:sz w:val="24"/>
          <w:szCs w:val="24"/>
        </w:rPr>
      </w:pPr>
      <w:r w:rsidRPr="00EE11C3">
        <w:rPr>
          <w:rFonts w:ascii="Segoe UI Light" w:hAnsi="Segoe UI Light" w:cs="Segoe UI Light"/>
          <w:sz w:val="24"/>
          <w:szCs w:val="24"/>
          <w:lang w:val="es"/>
        </w:rPr>
        <w:t xml:space="preserve">de acuerdo con las leyes y reglamentos que rigen dichos datos, incluidas las leyes de protección de datos y la Ley Antispam de Canadá (CASL); </w:t>
      </w:r>
    </w:p>
    <w:p w14:paraId="0A8D3A4D" w14:textId="77777777" w:rsidR="00D86B68" w:rsidRPr="00EE11C3" w:rsidRDefault="00D86B68" w:rsidP="001A0271">
      <w:pPr>
        <w:numPr>
          <w:ilvl w:val="1"/>
          <w:numId w:val="2"/>
        </w:numPr>
        <w:spacing w:after="0"/>
        <w:ind w:hanging="360"/>
        <w:rPr>
          <w:rFonts w:ascii="Segoe UI Light" w:hAnsi="Segoe UI Light" w:cs="Segoe UI Light"/>
          <w:sz w:val="24"/>
          <w:szCs w:val="24"/>
        </w:rPr>
      </w:pPr>
      <w:r w:rsidRPr="00EE11C3">
        <w:rPr>
          <w:rFonts w:ascii="Segoe UI Light" w:hAnsi="Segoe UI Light" w:cs="Segoe UI Light"/>
          <w:sz w:val="24"/>
          <w:szCs w:val="24"/>
          <w:lang w:val="es"/>
        </w:rPr>
        <w:t xml:space="preserve">para ponerse en contacto con el cliente de acuerdo con sus medios de comunicación preferidos previamente indicados, y </w:t>
      </w:r>
    </w:p>
    <w:p w14:paraId="670258BD" w14:textId="4E62A9A4" w:rsidR="00D86B68" w:rsidRPr="00EE11C3" w:rsidRDefault="00D86B68" w:rsidP="001A0271">
      <w:pPr>
        <w:numPr>
          <w:ilvl w:val="1"/>
          <w:numId w:val="2"/>
        </w:numPr>
        <w:spacing w:after="0"/>
        <w:ind w:hanging="360"/>
        <w:rPr>
          <w:rFonts w:ascii="Segoe UI Light" w:hAnsi="Segoe UI Light" w:cs="Segoe UI Light"/>
          <w:sz w:val="24"/>
          <w:szCs w:val="24"/>
        </w:rPr>
      </w:pPr>
      <w:r w:rsidRPr="00EE11C3">
        <w:rPr>
          <w:rFonts w:ascii="Segoe UI Light" w:hAnsi="Segoe UI Light" w:cs="Segoe UI Light"/>
          <w:sz w:val="24"/>
          <w:szCs w:val="24"/>
          <w:lang w:val="es"/>
        </w:rPr>
        <w:t xml:space="preserve">para vender productos o servicios de Fenix Alliance y productos o servicios relacionados que sean de interés para el cliente.  </w:t>
      </w:r>
    </w:p>
    <w:p w14:paraId="3A12DBA2" w14:textId="77777777" w:rsidR="00EE11C3" w:rsidRPr="00EE11C3" w:rsidRDefault="00EE11C3" w:rsidP="001A0271">
      <w:pPr>
        <w:spacing w:after="0"/>
        <w:rPr>
          <w:rFonts w:ascii="Segoe UI Light" w:hAnsi="Segoe UI Light" w:cs="Segoe UI Light"/>
          <w:sz w:val="24"/>
          <w:szCs w:val="24"/>
        </w:rPr>
      </w:pPr>
    </w:p>
    <w:p w14:paraId="60133069" w14:textId="4A526922" w:rsidR="00D86B68" w:rsidRPr="00EE11C3" w:rsidRDefault="00D86B68" w:rsidP="001A0271">
      <w:pPr>
        <w:ind w:left="705" w:firstLine="0"/>
        <w:rPr>
          <w:rFonts w:ascii="Segoe UI Light" w:hAnsi="Segoe UI Light" w:cs="Segoe UI Light"/>
          <w:sz w:val="24"/>
          <w:szCs w:val="24"/>
        </w:rPr>
      </w:pPr>
      <w:r w:rsidRPr="00EE11C3">
        <w:rPr>
          <w:rFonts w:ascii="Segoe UI Light" w:hAnsi="Segoe UI Light" w:cs="Segoe UI Light"/>
          <w:sz w:val="24"/>
          <w:szCs w:val="24"/>
          <w:lang w:val="es"/>
        </w:rPr>
        <w:t xml:space="preserve">Debe obtener de forma independiente el consentimiento del cliente para cualquier otro uso de la información de contacto del cliente o los Datos personales del cliente y Fenix Alliance no será responsable de dicho otro uso. Para cualquier información de clientes potenciales que proporcione a Fenix Alliance, debe cumplir con las leyes o requisitos de notificación o consentimiento aplicables antes de compartir cualquier dato personal </w:t>
      </w:r>
      <w:r w:rsidR="00EE11C3" w:rsidRPr="00EE11C3">
        <w:rPr>
          <w:rFonts w:ascii="Segoe UI Light" w:hAnsi="Segoe UI Light" w:cs="Segoe UI Light"/>
          <w:sz w:val="24"/>
          <w:szCs w:val="24"/>
          <w:lang w:val="es"/>
        </w:rPr>
        <w:t>con Fenix</w:t>
      </w:r>
      <w:r w:rsidRPr="00EE11C3">
        <w:rPr>
          <w:rFonts w:ascii="Segoe UI Light" w:hAnsi="Segoe UI Light" w:cs="Segoe UI Light"/>
          <w:sz w:val="24"/>
          <w:szCs w:val="24"/>
          <w:lang w:val="es"/>
        </w:rPr>
        <w:t xml:space="preserve"> Alliance. Puede conservar los Datos personales del cliente durante un período de 30 días, a menos que haya obtenido el consentimiento del cliente para conservar dichos Datos personales del </w:t>
      </w:r>
      <w:r w:rsidRPr="00EE11C3">
        <w:rPr>
          <w:rFonts w:ascii="Segoe UI Light" w:hAnsi="Segoe UI Light" w:cs="Segoe UI Light"/>
          <w:sz w:val="24"/>
          <w:szCs w:val="24"/>
          <w:lang w:val="es"/>
        </w:rPr>
        <w:lastRenderedPageBreak/>
        <w:t xml:space="preserve">cliente durante un período más largo. Si participa en un programa de venta conjunta y, a petición de Fenix Alliance, acepta proporcionar evidencia relevante del acuerdo entre usted y su cliente final únicamente para establecer la elegibilidad del acuerdo y </w:t>
      </w:r>
      <w:r w:rsidR="00EE11C3" w:rsidRPr="00EE11C3">
        <w:rPr>
          <w:rFonts w:ascii="Segoe UI Light" w:hAnsi="Segoe UI Light" w:cs="Segoe UI Light"/>
          <w:sz w:val="24"/>
          <w:szCs w:val="24"/>
          <w:lang w:val="es"/>
        </w:rPr>
        <w:t>que Fenix</w:t>
      </w:r>
      <w:r w:rsidRPr="00EE11C3">
        <w:rPr>
          <w:rFonts w:ascii="Segoe UI Light" w:hAnsi="Segoe UI Light" w:cs="Segoe UI Light"/>
          <w:sz w:val="24"/>
          <w:szCs w:val="24"/>
          <w:lang w:val="es"/>
        </w:rPr>
        <w:t xml:space="preserve"> Alliance puede utilizar dicha información para mejorar y desarrollar sus procesos y herramientas internas.  Toda esta información se considera su Información Confidencial. El incumplimiento de la evidencia razonable del acuerdo puede afectar la elegibilidad para la venta conjunta. </w:t>
      </w:r>
    </w:p>
    <w:p w14:paraId="5B351F9C" w14:textId="56E07A43" w:rsidR="00D86B68" w:rsidRPr="00EE11C3" w:rsidRDefault="00D86B68" w:rsidP="001A0271">
      <w:pPr>
        <w:numPr>
          <w:ilvl w:val="0"/>
          <w:numId w:val="2"/>
        </w:numPr>
        <w:spacing w:after="235"/>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Herramientas y software</w:t>
      </w:r>
      <w:r w:rsidRPr="00EE11C3">
        <w:rPr>
          <w:rFonts w:ascii="Segoe UI Light" w:hAnsi="Segoe UI Light" w:cs="Segoe UI Light"/>
          <w:sz w:val="24"/>
          <w:szCs w:val="24"/>
          <w:lang w:val="es"/>
        </w:rPr>
        <w:t xml:space="preserve">.  Si accede a herramientas o software a través de los Programas u Ofertas de la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incluido </w:t>
      </w:r>
      <w:r w:rsidR="002C02F1">
        <w:rPr>
          <w:rFonts w:ascii="Segoe UI Light" w:hAnsi="Segoe UI Light" w:cs="Segoe UI Light"/>
          <w:sz w:val="24"/>
          <w:szCs w:val="24"/>
          <w:lang w:val="es"/>
        </w:rPr>
        <w:t xml:space="preserve">Alliance Business Suite - </w:t>
      </w:r>
      <w:r w:rsidRPr="00EE11C3">
        <w:rPr>
          <w:rFonts w:ascii="Segoe UI Light" w:hAnsi="Segoe UI Light" w:cs="Segoe UI Light"/>
          <w:sz w:val="24"/>
          <w:szCs w:val="24"/>
          <w:lang w:val="es"/>
        </w:rPr>
        <w:t xml:space="preserve">Partner </w:t>
      </w:r>
      <w:r w:rsidR="002C02F1">
        <w:rPr>
          <w:rFonts w:ascii="Segoe UI Light" w:hAnsi="Segoe UI Light" w:cs="Segoe UI Light"/>
          <w:sz w:val="24"/>
          <w:szCs w:val="24"/>
          <w:lang w:val="es"/>
        </w:rPr>
        <w:t>Center</w:t>
      </w:r>
      <w:r w:rsidRPr="00EE11C3">
        <w:rPr>
          <w:rFonts w:ascii="Segoe UI Light" w:hAnsi="Segoe UI Light" w:cs="Segoe UI Light"/>
          <w:sz w:val="24"/>
          <w:szCs w:val="24"/>
          <w:lang w:val="es"/>
        </w:rPr>
        <w:t xml:space="preserve"> Connect, usted acepta acceder y utilizarlo únicamente para fines comerciales internos de acuerdo con la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w:t>
      </w:r>
    </w:p>
    <w:p w14:paraId="200A79FE" w14:textId="77777777" w:rsidR="00D86B68" w:rsidRPr="00B77997" w:rsidRDefault="00D86B68" w:rsidP="001A0271">
      <w:pPr>
        <w:numPr>
          <w:ilvl w:val="0"/>
          <w:numId w:val="2"/>
        </w:numPr>
        <w:spacing w:after="230" w:line="265" w:lineRule="auto"/>
        <w:ind w:hanging="360"/>
        <w:rPr>
          <w:rFonts w:ascii="Segoe UI Light" w:hAnsi="Segoe UI Light" w:cs="Segoe UI Light"/>
          <w:sz w:val="24"/>
          <w:szCs w:val="24"/>
          <w:u w:val="single"/>
        </w:rPr>
      </w:pPr>
      <w:r w:rsidRPr="00B77997">
        <w:rPr>
          <w:rFonts w:ascii="Segoe UI Light" w:hAnsi="Segoe UI Light" w:cs="Segoe UI Light"/>
          <w:sz w:val="24"/>
          <w:szCs w:val="24"/>
          <w:u w:val="single"/>
          <w:lang w:val="es"/>
        </w:rPr>
        <w:t>Fenix Alliance Store y Partner Center</w:t>
      </w:r>
    </w:p>
    <w:p w14:paraId="03BCF14F" w14:textId="7CBF3B58" w:rsidR="00D86B68" w:rsidRPr="005C7006" w:rsidRDefault="00D86B68" w:rsidP="001A0271">
      <w:pPr>
        <w:numPr>
          <w:ilvl w:val="1"/>
          <w:numId w:val="2"/>
        </w:numPr>
        <w:spacing w:after="1"/>
        <w:ind w:left="1080" w:firstLine="0"/>
        <w:rPr>
          <w:rFonts w:ascii="Segoe UI Light" w:hAnsi="Segoe UI Light" w:cs="Segoe UI Light"/>
          <w:sz w:val="24"/>
          <w:szCs w:val="24"/>
        </w:rPr>
      </w:pPr>
      <w:r w:rsidRPr="00B77997">
        <w:rPr>
          <w:rFonts w:ascii="Segoe UI Light" w:hAnsi="Segoe UI Light" w:cs="Segoe UI Light"/>
          <w:b/>
          <w:sz w:val="24"/>
          <w:szCs w:val="24"/>
          <w:lang w:val="es"/>
        </w:rPr>
        <w:t xml:space="preserve">RESPONSABILIDAD DE GARANTIA. </w:t>
      </w:r>
      <w:r w:rsidRPr="00B77997">
        <w:rPr>
          <w:rFonts w:ascii="Segoe UI Light" w:hAnsi="Segoe UI Light" w:cs="Segoe UI Light"/>
          <w:sz w:val="24"/>
          <w:szCs w:val="24"/>
          <w:lang w:val="es"/>
        </w:rPr>
        <w:t xml:space="preserve"> PROPORCIONAMOS LA TIENDA Y EL CENTRO DE SOCIOS "TAL CUAL", "CON TODAS LAS FALLAS" Y "TAL CUAL." USTED CORRE EL RIESGO DE UTILIZAR LA TIENDA Y EL CENTRO DE SOCIOS. FENIX ALLIANCE EXCLUYE TODAS LAS GARANTIAS O CONDICIONES IMPLICADAS, INCLUIDAS LAS DE RESPONSABILIDAD DEL PRODUCTO, COMERCIABILIDAD, IDONEIDAD PARA UN FIN PARTICULAR, EFFORT DE TRABAJO Y NO INFRACCI</w:t>
      </w:r>
      <w:r w:rsidR="00B77997" w:rsidRPr="00B77997">
        <w:rPr>
          <w:rFonts w:ascii="Segoe UI Light" w:hAnsi="Segoe UI Light" w:cs="Segoe UI Light"/>
          <w:sz w:val="24"/>
          <w:szCs w:val="24"/>
          <w:lang w:val="es"/>
        </w:rPr>
        <w:t>Ó</w:t>
      </w:r>
      <w:r w:rsidRPr="00B77997">
        <w:rPr>
          <w:rFonts w:ascii="Segoe UI Light" w:hAnsi="Segoe UI Light" w:cs="Segoe UI Light"/>
          <w:sz w:val="24"/>
          <w:szCs w:val="24"/>
          <w:lang w:val="es"/>
        </w:rPr>
        <w:t>N, RELACIONADAS CON LA ALMACENAMIENTO Y EL CENTRO DE SOCIOS. USTED PUEDE TENER CIERTOS DERECHOS BAJO SU LEY LOCAL. NADA EN ESTOS TÉRMINOS TIENEN POR OBJETO AFECTAR A ESOS DERECHOS, SI Y ÚNICAMENTE EN LA MEDIDA EN QUE SON APLICABLES. SIN LIMITAR LO ANTERIOR, LAS PARTES CUBIERTAS RENUNCIA</w:t>
      </w:r>
      <w:r w:rsidR="002C02F1">
        <w:rPr>
          <w:rFonts w:ascii="Segoe UI Light" w:hAnsi="Segoe UI Light" w:cs="Segoe UI Light"/>
          <w:sz w:val="24"/>
          <w:szCs w:val="24"/>
          <w:lang w:val="es"/>
        </w:rPr>
        <w:t>N</w:t>
      </w:r>
      <w:r w:rsidRPr="00B77997">
        <w:rPr>
          <w:rFonts w:ascii="Segoe UI Light" w:hAnsi="Segoe UI Light" w:cs="Segoe UI Light"/>
          <w:sz w:val="24"/>
          <w:szCs w:val="24"/>
          <w:lang w:val="es"/>
        </w:rPr>
        <w:t xml:space="preserve"> EXPRESAMENTE A CUALQUIER GARANTIA DE QUE EL ACCESO O EL USO DE LA TIENDA O EL CENTRO DE SOCIOS SEAN ININTERRUMPIDOS O LIBRES DE ERRORES.</w:t>
      </w:r>
    </w:p>
    <w:p w14:paraId="192A19B3" w14:textId="77777777" w:rsidR="005C7006" w:rsidRPr="00B77997" w:rsidRDefault="005C7006" w:rsidP="005C7006">
      <w:pPr>
        <w:spacing w:after="1"/>
        <w:rPr>
          <w:rFonts w:ascii="Segoe UI Light" w:hAnsi="Segoe UI Light" w:cs="Segoe UI Light"/>
          <w:sz w:val="24"/>
          <w:szCs w:val="24"/>
        </w:rPr>
      </w:pPr>
    </w:p>
    <w:p w14:paraId="2C2726C5" w14:textId="3D8357B4" w:rsidR="00D86B68" w:rsidRPr="005C7006" w:rsidRDefault="00D86B68" w:rsidP="001A0271">
      <w:pPr>
        <w:numPr>
          <w:ilvl w:val="1"/>
          <w:numId w:val="2"/>
        </w:numPr>
        <w:spacing w:after="0"/>
        <w:ind w:left="1080" w:firstLine="0"/>
        <w:rPr>
          <w:rFonts w:ascii="Segoe UI Light" w:hAnsi="Segoe UI Light" w:cs="Segoe UI Light"/>
          <w:sz w:val="24"/>
          <w:szCs w:val="24"/>
        </w:rPr>
      </w:pPr>
      <w:r w:rsidRPr="00B77997">
        <w:rPr>
          <w:rFonts w:ascii="Segoe UI Light" w:hAnsi="Segoe UI Light" w:cs="Segoe UI Light"/>
          <w:b/>
          <w:sz w:val="24"/>
          <w:szCs w:val="24"/>
          <w:lang w:val="es"/>
        </w:rPr>
        <w:t xml:space="preserve">LIMITACIONES DE RESPONSABILIDAD. </w:t>
      </w:r>
      <w:r w:rsidRPr="00B77997">
        <w:rPr>
          <w:rFonts w:ascii="Segoe UI Light" w:hAnsi="Segoe UI Light" w:cs="Segoe UI Light"/>
          <w:sz w:val="24"/>
          <w:szCs w:val="24"/>
          <w:lang w:val="es"/>
        </w:rPr>
        <w:t xml:space="preserve"> USTED PUEDE RECUPERAR DE FENIX ALLIANCE Y SUS AFILIADOS SOLAMENTE DAÑOS DIRECTOS HASTA UNA CANTIDAD IGUAL A LA CUOTA DE SU CUENTA (O $1, SI HAY SIN CARGO DE CUENTA). USTED ACEPTA NO BUSCAR Y RENUNCIA A CUALQUIER DERECHO A RECUPERAR CUALQUIER OTRA </w:t>
      </w:r>
      <w:r w:rsidR="002C02F1">
        <w:rPr>
          <w:rFonts w:ascii="Segoe UI Light" w:hAnsi="Segoe UI Light" w:cs="Segoe UI Light"/>
          <w:sz w:val="24"/>
          <w:szCs w:val="24"/>
          <w:lang w:val="es"/>
        </w:rPr>
        <w:t xml:space="preserve">POR </w:t>
      </w:r>
      <w:r w:rsidR="002C02F1" w:rsidRPr="00B77997">
        <w:rPr>
          <w:rFonts w:ascii="Segoe UI Light" w:hAnsi="Segoe UI Light" w:cs="Segoe UI Light"/>
          <w:sz w:val="24"/>
          <w:szCs w:val="24"/>
          <w:lang w:val="es"/>
        </w:rPr>
        <w:t>PÉRDIDA O DAÑO</w:t>
      </w:r>
      <w:r w:rsidRPr="00B77997">
        <w:rPr>
          <w:rFonts w:ascii="Segoe UI Light" w:hAnsi="Segoe UI Light" w:cs="Segoe UI Light"/>
          <w:sz w:val="24"/>
          <w:szCs w:val="24"/>
          <w:lang w:val="es"/>
        </w:rPr>
        <w:t>, INCLUYENDO, SIN LIMITARSE</w:t>
      </w:r>
      <w:r w:rsidR="003F4ABD">
        <w:rPr>
          <w:rFonts w:ascii="Segoe UI Light" w:hAnsi="Segoe UI Light" w:cs="Segoe UI Light"/>
          <w:sz w:val="24"/>
          <w:szCs w:val="24"/>
          <w:lang w:val="es"/>
        </w:rPr>
        <w:t xml:space="preserve"> A</w:t>
      </w:r>
      <w:r w:rsidRPr="00B77997">
        <w:rPr>
          <w:rFonts w:ascii="Segoe UI Light" w:hAnsi="Segoe UI Light" w:cs="Segoe UI Light"/>
          <w:sz w:val="24"/>
          <w:szCs w:val="24"/>
          <w:lang w:val="es"/>
        </w:rPr>
        <w:t xml:space="preserve">, </w:t>
      </w:r>
      <w:r w:rsidR="003F4ABD" w:rsidRPr="003F4ABD">
        <w:rPr>
          <w:rFonts w:ascii="Segoe UI Light" w:hAnsi="Segoe UI Light" w:cs="Segoe UI Light"/>
          <w:sz w:val="24"/>
          <w:szCs w:val="24"/>
          <w:lang w:val="es"/>
        </w:rPr>
        <w:t>LUCRO CESANTE</w:t>
      </w:r>
      <w:r w:rsidRPr="003F4ABD">
        <w:rPr>
          <w:rFonts w:ascii="Segoe UI Light" w:hAnsi="Segoe UI Light" w:cs="Segoe UI Light"/>
          <w:sz w:val="24"/>
          <w:szCs w:val="24"/>
          <w:lang w:val="es"/>
        </w:rPr>
        <w:t>,</w:t>
      </w:r>
      <w:r w:rsidR="003F4ABD">
        <w:rPr>
          <w:rFonts w:ascii="Segoe UI Light" w:hAnsi="Segoe UI Light" w:cs="Segoe UI Light"/>
          <w:sz w:val="24"/>
          <w:szCs w:val="24"/>
          <w:lang w:val="es"/>
        </w:rPr>
        <w:t xml:space="preserve"> DAÑOS</w:t>
      </w:r>
      <w:r w:rsidRPr="00B77997">
        <w:rPr>
          <w:rFonts w:ascii="Segoe UI Light" w:hAnsi="Segoe UI Light" w:cs="Segoe UI Light"/>
          <w:sz w:val="24"/>
          <w:szCs w:val="24"/>
          <w:lang w:val="es"/>
        </w:rPr>
        <w:t xml:space="preserve"> ESPECIALES, INDIRECTOS, PUNITIVOS O INCIDENTALES DE CUALQUIER </w:t>
      </w:r>
      <w:r w:rsidRPr="00B77997">
        <w:rPr>
          <w:rFonts w:ascii="Segoe UI Light" w:hAnsi="Segoe UI Light" w:cs="Segoe UI Light"/>
          <w:sz w:val="24"/>
          <w:szCs w:val="24"/>
          <w:lang w:val="es"/>
        </w:rPr>
        <w:lastRenderedPageBreak/>
        <w:t>PARTE CUBIERTA. ESTOS LÍMITES Y EXCLUSIONES SE APLICAN INCLUSO SI LA PARTE CUBIERTA SABÍA O DEBERÍA HABER SABIDO SOBRE LA POSIBILIDAD DE LOS DAÑOS. ES POSIBLE QUE LAS LIMITACIONES O EXCLUSIONES ANTERIORES NO SE APLIQUEN A USTED PORQUE SU ESTADO O PAIS PUEDE NO PERMITIR LA EXCLUSION DE CIERTOS D</w:t>
      </w:r>
      <w:r w:rsidR="00B77997" w:rsidRPr="00B77997">
        <w:rPr>
          <w:rFonts w:ascii="Segoe UI Light" w:hAnsi="Segoe UI Light" w:cs="Segoe UI Light"/>
          <w:sz w:val="24"/>
          <w:szCs w:val="24"/>
          <w:lang w:val="es"/>
        </w:rPr>
        <w:t>AÑOS</w:t>
      </w:r>
      <w:r w:rsidRPr="00B77997">
        <w:rPr>
          <w:rFonts w:ascii="Segoe UI Light" w:hAnsi="Segoe UI Light" w:cs="Segoe UI Light"/>
          <w:sz w:val="24"/>
          <w:szCs w:val="24"/>
          <w:lang w:val="es"/>
        </w:rPr>
        <w:t xml:space="preserve">. </w:t>
      </w:r>
    </w:p>
    <w:p w14:paraId="5829A443" w14:textId="77777777" w:rsidR="005C7006" w:rsidRPr="00B77997" w:rsidRDefault="005C7006" w:rsidP="005C7006">
      <w:pPr>
        <w:spacing w:after="0"/>
        <w:ind w:left="0" w:firstLine="0"/>
        <w:rPr>
          <w:rFonts w:ascii="Segoe UI Light" w:hAnsi="Segoe UI Light" w:cs="Segoe UI Light"/>
          <w:sz w:val="24"/>
          <w:szCs w:val="24"/>
        </w:rPr>
      </w:pPr>
    </w:p>
    <w:p w14:paraId="2DBC5398" w14:textId="1E3A8A68" w:rsidR="00D86B68" w:rsidRPr="001A0271" w:rsidRDefault="00D86B68" w:rsidP="001A0271">
      <w:pPr>
        <w:numPr>
          <w:ilvl w:val="0"/>
          <w:numId w:val="2"/>
        </w:numPr>
        <w:spacing w:after="555"/>
        <w:ind w:hanging="360"/>
        <w:rPr>
          <w:rFonts w:ascii="Segoe UI Light" w:hAnsi="Segoe UI Light" w:cs="Segoe UI Light"/>
          <w:sz w:val="24"/>
          <w:szCs w:val="24"/>
        </w:rPr>
      </w:pPr>
      <w:r w:rsidRPr="00EE11C3">
        <w:rPr>
          <w:rFonts w:ascii="Segoe UI Light" w:hAnsi="Segoe UI Light" w:cs="Segoe UI Light"/>
          <w:sz w:val="24"/>
          <w:szCs w:val="24"/>
          <w:lang w:val="es"/>
        </w:rPr>
        <w:t>Si alguna de las partes proporciona sugerencias, comentarios u otr</w:t>
      </w:r>
      <w:r w:rsidR="003F4ABD">
        <w:rPr>
          <w:rFonts w:ascii="Segoe UI Light" w:hAnsi="Segoe UI Light" w:cs="Segoe UI Light"/>
          <w:sz w:val="24"/>
          <w:szCs w:val="24"/>
          <w:lang w:val="es"/>
        </w:rPr>
        <w:t xml:space="preserve">o tipo de retroalimentación comunicada </w:t>
      </w:r>
      <w:r w:rsidRPr="00EE11C3">
        <w:rPr>
          <w:rFonts w:ascii="Segoe UI Light" w:hAnsi="Segoe UI Light" w:cs="Segoe UI Light"/>
          <w:sz w:val="24"/>
          <w:szCs w:val="24"/>
          <w:lang w:val="es"/>
        </w:rPr>
        <w:t xml:space="preserve">con respecto a los productos y servicios de la otra parte, la parte que recibe los comentarios puede utilizarlo para cualquier propósito sin obligación de ningún tipo. La parte que recibe comentarios no revelará la fuente de los comentarios </w:t>
      </w:r>
      <w:r w:rsidRPr="001A0271">
        <w:rPr>
          <w:rFonts w:ascii="Segoe UI Light" w:hAnsi="Segoe UI Light" w:cs="Segoe UI Light"/>
          <w:sz w:val="24"/>
          <w:szCs w:val="24"/>
          <w:lang w:val="es"/>
        </w:rPr>
        <w:t xml:space="preserve">sin consentimiento. A menos que las partes estén específicamente de acuerdo por escrito, los comentarios no crearán obligaciones de confidencialidad.  </w:t>
      </w:r>
    </w:p>
    <w:p w14:paraId="2CDFC3DD" w14:textId="77777777" w:rsidR="00D86B68" w:rsidRPr="00EE11C3" w:rsidRDefault="00D86B68" w:rsidP="001A0271">
      <w:pPr>
        <w:numPr>
          <w:ilvl w:val="0"/>
          <w:numId w:val="2"/>
        </w:numPr>
        <w:spacing w:after="195" w:line="265" w:lineRule="auto"/>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Programas de Inversión e Incentivos</w:t>
      </w:r>
      <w:r w:rsidRPr="00EE11C3">
        <w:rPr>
          <w:rFonts w:ascii="Segoe UI Light" w:hAnsi="Segoe UI Light" w:cs="Segoe UI Light"/>
          <w:sz w:val="24"/>
          <w:szCs w:val="24"/>
          <w:lang w:val="es"/>
        </w:rPr>
        <w:t xml:space="preserve">.  </w:t>
      </w:r>
    </w:p>
    <w:p w14:paraId="1F69C05E" w14:textId="2397B7ED" w:rsidR="00D86B68" w:rsidRPr="00EE11C3" w:rsidRDefault="00D86B68" w:rsidP="001A0271">
      <w:pPr>
        <w:spacing w:after="235"/>
        <w:ind w:left="705" w:firstLine="0"/>
        <w:rPr>
          <w:rFonts w:ascii="Segoe UI Light" w:hAnsi="Segoe UI Light" w:cs="Segoe UI Light"/>
          <w:sz w:val="24"/>
          <w:szCs w:val="24"/>
        </w:rPr>
      </w:pPr>
      <w:r w:rsidRPr="00EE11C3">
        <w:rPr>
          <w:rFonts w:ascii="Segoe UI Light" w:hAnsi="Segoe UI Light" w:cs="Segoe UI Light"/>
          <w:sz w:val="24"/>
          <w:szCs w:val="24"/>
          <w:lang w:val="es"/>
        </w:rPr>
        <w:t xml:space="preserve">Para mayor claridad, los siguientes términos para los Programas de Inversión e Incentivos reemplazan al Acuerdo de Incentivos para canales de la </w:t>
      </w:r>
      <w:r w:rsidR="00B77997">
        <w:rPr>
          <w:rFonts w:ascii="Segoe UI Light" w:hAnsi="Segoe UI Light" w:cs="Segoe UI Light"/>
          <w:sz w:val="24"/>
          <w:szCs w:val="24"/>
          <w:lang w:val="es"/>
        </w:rPr>
        <w:t>Fenix Alliance</w:t>
      </w:r>
      <w:r w:rsidRPr="00EE11C3">
        <w:rPr>
          <w:rFonts w:ascii="Segoe UI Light" w:hAnsi="Segoe UI Light" w:cs="Segoe UI Light"/>
          <w:sz w:val="24"/>
          <w:szCs w:val="24"/>
          <w:lang w:val="es"/>
        </w:rPr>
        <w:t xml:space="preserve"> (</w:t>
      </w:r>
      <w:r w:rsidR="00B77997">
        <w:rPr>
          <w:rFonts w:ascii="Segoe UI Light" w:hAnsi="Segoe UI Light" w:cs="Segoe UI Light"/>
          <w:sz w:val="24"/>
          <w:szCs w:val="24"/>
          <w:lang w:val="es"/>
        </w:rPr>
        <w:t>ABS</w:t>
      </w:r>
      <w:r w:rsidRPr="00EE11C3">
        <w:rPr>
          <w:rFonts w:ascii="Segoe UI Light" w:hAnsi="Segoe UI Light" w:cs="Segoe UI Light"/>
          <w:sz w:val="24"/>
          <w:szCs w:val="24"/>
          <w:lang w:val="es"/>
        </w:rPr>
        <w:t xml:space="preserve">CIA).   </w:t>
      </w:r>
    </w:p>
    <w:p w14:paraId="370589C6" w14:textId="33DA8923" w:rsidR="00D86B68" w:rsidRPr="00EE11C3" w:rsidRDefault="00D86B68" w:rsidP="001A0271">
      <w:pPr>
        <w:numPr>
          <w:ilvl w:val="1"/>
          <w:numId w:val="2"/>
        </w:numPr>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Restricciones</w:t>
      </w:r>
      <w:r w:rsidR="002C02F1">
        <w:rPr>
          <w:rFonts w:ascii="Segoe UI Light" w:hAnsi="Segoe UI Light" w:cs="Segoe UI Light"/>
          <w:sz w:val="24"/>
          <w:szCs w:val="24"/>
          <w:u w:val="single" w:color="000000"/>
          <w:lang w:val="es"/>
        </w:rPr>
        <w:t>.</w:t>
      </w:r>
      <w:r w:rsidR="002C02F1">
        <w:rPr>
          <w:rFonts w:ascii="Segoe UI Light" w:hAnsi="Segoe UI Light" w:cs="Segoe UI Light"/>
          <w:sz w:val="24"/>
          <w:szCs w:val="24"/>
          <w:lang w:val="es"/>
        </w:rPr>
        <w:t xml:space="preserve"> U</w:t>
      </w:r>
      <w:r w:rsidRPr="00EE11C3">
        <w:rPr>
          <w:rFonts w:ascii="Segoe UI Light" w:hAnsi="Segoe UI Light" w:cs="Segoe UI Light"/>
          <w:sz w:val="24"/>
          <w:szCs w:val="24"/>
          <w:lang w:val="es"/>
        </w:rPr>
        <w:t xml:space="preserve">sted no tendrá derecho a recibir o retener los pagos de incentivos recibidos en relación con un cliente (i) que </w:t>
      </w:r>
      <w:r w:rsidR="00B77997" w:rsidRPr="00EE11C3">
        <w:rPr>
          <w:rFonts w:ascii="Segoe UI Light" w:hAnsi="Segoe UI Light" w:cs="Segoe UI Light"/>
          <w:sz w:val="24"/>
          <w:szCs w:val="24"/>
          <w:lang w:val="es"/>
        </w:rPr>
        <w:t>es su</w:t>
      </w:r>
      <w:r w:rsidRPr="00EE11C3">
        <w:rPr>
          <w:rFonts w:ascii="Segoe UI Light" w:hAnsi="Segoe UI Light" w:cs="Segoe UI Light"/>
          <w:sz w:val="24"/>
          <w:szCs w:val="24"/>
          <w:lang w:val="es"/>
        </w:rPr>
        <w:t xml:space="preserve"> Afiliado, o (ii) </w:t>
      </w:r>
      <w:r w:rsidR="003F4ABD">
        <w:rPr>
          <w:rFonts w:ascii="Segoe UI Light" w:hAnsi="Segoe UI Light" w:cs="Segoe UI Light"/>
          <w:sz w:val="24"/>
          <w:szCs w:val="24"/>
          <w:lang w:val="es"/>
        </w:rPr>
        <w:t>con la</w:t>
      </w:r>
      <w:r w:rsidRPr="00EE11C3">
        <w:rPr>
          <w:rFonts w:ascii="Segoe UI Light" w:hAnsi="Segoe UI Light" w:cs="Segoe UI Light"/>
          <w:sz w:val="24"/>
          <w:szCs w:val="24"/>
          <w:lang w:val="es"/>
        </w:rPr>
        <w:t xml:space="preserve"> que </w:t>
      </w:r>
      <w:r w:rsidR="003F4ABD">
        <w:rPr>
          <w:rFonts w:ascii="Segoe UI Light" w:hAnsi="Segoe UI Light" w:cs="Segoe UI Light"/>
          <w:sz w:val="24"/>
          <w:szCs w:val="24"/>
          <w:lang w:val="es"/>
        </w:rPr>
        <w:t>tiene obligaciones de agencia</w:t>
      </w:r>
      <w:r w:rsidRPr="00EE11C3">
        <w:rPr>
          <w:rFonts w:ascii="Segoe UI Light" w:hAnsi="Segoe UI Light" w:cs="Segoe UI Light"/>
          <w:sz w:val="24"/>
          <w:szCs w:val="24"/>
          <w:lang w:val="es"/>
        </w:rPr>
        <w:t xml:space="preserve"> o un deber fiduciario, ya sea de naturaleza contractual o legal. A petición razonable de Fenix Alliance, debe proporcionar a Fenix Alliance información completa y precisa sobre sus Afiliados con quienes lleva a cabo negocios </w:t>
      </w:r>
      <w:r w:rsidR="00B77997" w:rsidRPr="00EE11C3">
        <w:rPr>
          <w:rFonts w:ascii="Segoe UI Light" w:hAnsi="Segoe UI Light" w:cs="Segoe UI Light"/>
          <w:sz w:val="24"/>
          <w:szCs w:val="24"/>
          <w:lang w:val="es"/>
        </w:rPr>
        <w:t>de Fenix</w:t>
      </w:r>
      <w:r w:rsidRPr="00EE11C3">
        <w:rPr>
          <w:rFonts w:ascii="Segoe UI Light" w:hAnsi="Segoe UI Light" w:cs="Segoe UI Light"/>
          <w:sz w:val="24"/>
          <w:szCs w:val="24"/>
          <w:lang w:val="es"/>
        </w:rPr>
        <w:t xml:space="preserve"> Alliance. En la medida en que reciba cualquier pago de incentivo como resultado de una transacción con un Afiliado o una entidad a la que </w:t>
      </w:r>
      <w:r w:rsidR="003F4ABD">
        <w:rPr>
          <w:rFonts w:ascii="Segoe UI Light" w:hAnsi="Segoe UI Light" w:cs="Segoe UI Light"/>
          <w:sz w:val="24"/>
          <w:szCs w:val="24"/>
          <w:lang w:val="es"/>
        </w:rPr>
        <w:t>tiene obligaciones de</w:t>
      </w:r>
      <w:r w:rsidRPr="00EE11C3">
        <w:rPr>
          <w:rFonts w:ascii="Segoe UI Light" w:hAnsi="Segoe UI Light" w:cs="Segoe UI Light"/>
          <w:sz w:val="24"/>
          <w:szCs w:val="24"/>
          <w:lang w:val="es"/>
        </w:rPr>
        <w:t xml:space="preserve"> agencia o un deber fiduciario, notificará de inmediato a Fenix Alliance y se encargará de devolver o compensar dichos pagos contra futuros pagos de incentivos.</w:t>
      </w:r>
    </w:p>
    <w:p w14:paraId="6A835089" w14:textId="241DBEEA" w:rsidR="00D86B68" w:rsidRPr="00EE11C3" w:rsidRDefault="00D86B68" w:rsidP="001A0271">
      <w:pPr>
        <w:numPr>
          <w:ilvl w:val="1"/>
          <w:numId w:val="2"/>
        </w:numPr>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Cambios en Programas u Ofertas</w:t>
      </w:r>
      <w:r w:rsidRPr="00EE11C3">
        <w:rPr>
          <w:rFonts w:ascii="Segoe UI Light" w:hAnsi="Segoe UI Light" w:cs="Segoe UI Light"/>
          <w:sz w:val="24"/>
          <w:szCs w:val="24"/>
          <w:lang w:val="es"/>
        </w:rPr>
        <w:t xml:space="preserve">. Fenix Alliance puede actualizar, cambiar o eliminar cualquier parte de un Programa u Oferta de La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incluidos incentivos, campañas y programas, </w:t>
      </w:r>
      <w:r w:rsidR="00B77997" w:rsidRPr="00EE11C3">
        <w:rPr>
          <w:rFonts w:ascii="Segoe UI Light" w:hAnsi="Segoe UI Light" w:cs="Segoe UI Light"/>
          <w:sz w:val="24"/>
          <w:szCs w:val="24"/>
          <w:lang w:val="es"/>
        </w:rPr>
        <w:t>y Fenix</w:t>
      </w:r>
      <w:r w:rsidRPr="00EE11C3">
        <w:rPr>
          <w:rFonts w:ascii="Segoe UI Light" w:hAnsi="Segoe UI Light" w:cs="Segoe UI Light"/>
          <w:sz w:val="24"/>
          <w:szCs w:val="24"/>
          <w:lang w:val="es"/>
        </w:rPr>
        <w:t xml:space="preserve"> Alliance puede cancelar todo un Programa u Oferta de </w:t>
      </w:r>
      <w:r w:rsidR="003F4ABD" w:rsidRPr="00EE11C3">
        <w:rPr>
          <w:rFonts w:ascii="Segoe UI Light" w:hAnsi="Segoe UI Light" w:cs="Segoe UI Light"/>
          <w:sz w:val="24"/>
          <w:szCs w:val="24"/>
          <w:lang w:val="es"/>
        </w:rPr>
        <w:t xml:space="preserve">La </w:t>
      </w:r>
      <w:r w:rsidR="003F4ABD">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Fenix Alliance hará todos los esfuerzos comercialmente razonables para proporcionarle 30 días de aviso de dicha actualización o cambio y 90 días de aviso de cualquier cancelación de </w:t>
      </w:r>
      <w:r w:rsidRPr="00EE11C3">
        <w:rPr>
          <w:rFonts w:ascii="Segoe UI Light" w:hAnsi="Segoe UI Light" w:cs="Segoe UI Light"/>
          <w:sz w:val="24"/>
          <w:szCs w:val="24"/>
          <w:lang w:val="es"/>
        </w:rPr>
        <w:lastRenderedPageBreak/>
        <w:t xml:space="preserve">un Programa u Oferta de La </w:t>
      </w:r>
      <w:r w:rsidR="001A0271">
        <w:rPr>
          <w:rFonts w:ascii="Segoe UI Light" w:hAnsi="Segoe UI Light" w:cs="Segoe UI Light"/>
          <w:sz w:val="24"/>
          <w:szCs w:val="24"/>
          <w:lang w:val="es"/>
        </w:rPr>
        <w:t>Red de Asesores de Confianza de Fenix Alliance.</w:t>
      </w:r>
      <w:r w:rsidRPr="00EE11C3">
        <w:rPr>
          <w:rFonts w:ascii="Segoe UI Light" w:hAnsi="Segoe UI Light" w:cs="Segoe UI Light"/>
          <w:sz w:val="24"/>
          <w:szCs w:val="24"/>
          <w:lang w:val="es"/>
        </w:rPr>
        <w:t xml:space="preserve">  Su participación continua en </w:t>
      </w:r>
      <w:r w:rsidR="00B77997" w:rsidRPr="00EE11C3">
        <w:rPr>
          <w:rFonts w:ascii="Segoe UI Light" w:hAnsi="Segoe UI Light" w:cs="Segoe UI Light"/>
          <w:sz w:val="24"/>
          <w:szCs w:val="24"/>
          <w:lang w:val="es"/>
        </w:rPr>
        <w:t>un Programa</w:t>
      </w:r>
      <w:r w:rsidRPr="00EE11C3">
        <w:rPr>
          <w:rFonts w:ascii="Segoe UI Light" w:hAnsi="Segoe UI Light" w:cs="Segoe UI Light"/>
          <w:sz w:val="24"/>
          <w:szCs w:val="24"/>
          <w:lang w:val="es"/>
        </w:rPr>
        <w:t xml:space="preserve"> u Oferta de </w:t>
      </w:r>
      <w:r w:rsidR="001A0271">
        <w:rPr>
          <w:rFonts w:ascii="Segoe UI Light" w:hAnsi="Segoe UI Light" w:cs="Segoe UI Light"/>
          <w:sz w:val="24"/>
          <w:szCs w:val="24"/>
          <w:lang w:val="es"/>
        </w:rPr>
        <w:t>la Red de Partners</w:t>
      </w:r>
      <w:r w:rsidRPr="00EE11C3">
        <w:rPr>
          <w:rFonts w:ascii="Segoe UI Light" w:hAnsi="Segoe UI Light" w:cs="Segoe UI Light"/>
          <w:sz w:val="24"/>
          <w:szCs w:val="24"/>
          <w:lang w:val="es"/>
        </w:rPr>
        <w:t xml:space="preserve"> después de una actualización o cambio confirma su aceptación de dicha actualización o cambio.</w:t>
      </w:r>
    </w:p>
    <w:p w14:paraId="4AB58F48" w14:textId="36FBB975" w:rsidR="00D86B68" w:rsidRPr="00EE11C3" w:rsidRDefault="00D86B68" w:rsidP="001A0271">
      <w:pPr>
        <w:numPr>
          <w:ilvl w:val="1"/>
          <w:numId w:val="2"/>
        </w:numPr>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Criterios de elegibilidad</w:t>
      </w:r>
      <w:r w:rsidRPr="00EE11C3">
        <w:rPr>
          <w:rFonts w:ascii="Segoe UI Light" w:hAnsi="Segoe UI Light" w:cs="Segoe UI Light"/>
          <w:sz w:val="24"/>
          <w:szCs w:val="24"/>
          <w:lang w:val="es"/>
        </w:rPr>
        <w:t xml:space="preserve">. Además de los criterios de elegibilidad establecidos en </w:t>
      </w:r>
      <w:r w:rsidR="003F4ABD">
        <w:rPr>
          <w:rFonts w:ascii="Segoe UI Light" w:hAnsi="Segoe UI Light" w:cs="Segoe UI Light"/>
          <w:sz w:val="24"/>
          <w:szCs w:val="24"/>
          <w:lang w:val="es"/>
        </w:rPr>
        <w:t>la</w:t>
      </w:r>
      <w:r w:rsidRPr="00EE11C3">
        <w:rPr>
          <w:rFonts w:ascii="Segoe UI Light" w:hAnsi="Segoe UI Light" w:cs="Segoe UI Light"/>
          <w:sz w:val="24"/>
          <w:szCs w:val="24"/>
          <w:lang w:val="es"/>
        </w:rPr>
        <w:t xml:space="preserve"> Guía del Programa, los criterios de elegibilidad para todos los Programas de la </w:t>
      </w:r>
      <w:r w:rsidR="001A0271">
        <w:rPr>
          <w:rFonts w:ascii="Segoe UI Light" w:hAnsi="Segoe UI Light" w:cs="Segoe UI Light"/>
          <w:sz w:val="24"/>
          <w:szCs w:val="24"/>
          <w:lang w:val="es"/>
        </w:rPr>
        <w:t xml:space="preserve">Red de Asesores de Confianza de Fenix Alliance </w:t>
      </w:r>
      <w:r w:rsidR="001A0271" w:rsidRPr="00EE11C3">
        <w:rPr>
          <w:rFonts w:ascii="Segoe UI Light" w:hAnsi="Segoe UI Light" w:cs="Segoe UI Light"/>
          <w:sz w:val="24"/>
          <w:szCs w:val="24"/>
          <w:lang w:val="es"/>
        </w:rPr>
        <w:t>incluyen</w:t>
      </w:r>
      <w:r w:rsidRPr="00EE11C3">
        <w:rPr>
          <w:rFonts w:ascii="Segoe UI Light" w:hAnsi="Segoe UI Light" w:cs="Segoe UI Light"/>
          <w:sz w:val="24"/>
          <w:szCs w:val="24"/>
          <w:lang w:val="es"/>
        </w:rPr>
        <w:t xml:space="preserve">: </w:t>
      </w:r>
    </w:p>
    <w:p w14:paraId="32468C22" w14:textId="77777777" w:rsidR="00D86B68" w:rsidRPr="00EE11C3" w:rsidRDefault="00D86B68" w:rsidP="001A0271">
      <w:pPr>
        <w:numPr>
          <w:ilvl w:val="2"/>
          <w:numId w:val="2"/>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cooperar plenamente con el programa anticorrupción de Fenix Alliance, incluida la presentación oportuna de todos los documentos solicitados y la cumplimentación de cuestionarios; </w:t>
      </w:r>
    </w:p>
    <w:p w14:paraId="577AB90F" w14:textId="77777777" w:rsidR="00D86B68" w:rsidRPr="00EE11C3" w:rsidRDefault="00D86B68" w:rsidP="001A0271">
      <w:pPr>
        <w:numPr>
          <w:ilvl w:val="2"/>
          <w:numId w:val="2"/>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evitar las ventas de productos de Fenix Alliance destinados a instituciones académicas o benéficas a clientes no elegibles; </w:t>
      </w:r>
    </w:p>
    <w:p w14:paraId="1A1A63F2" w14:textId="77777777" w:rsidR="00D86B68" w:rsidRPr="00EE11C3" w:rsidRDefault="00D86B68" w:rsidP="001A0271">
      <w:pPr>
        <w:numPr>
          <w:ilvl w:val="2"/>
          <w:numId w:val="2"/>
        </w:numPr>
        <w:spacing w:after="194"/>
        <w:ind w:hanging="360"/>
        <w:rPr>
          <w:rFonts w:ascii="Segoe UI Light" w:hAnsi="Segoe UI Light" w:cs="Segoe UI Light"/>
          <w:sz w:val="24"/>
          <w:szCs w:val="24"/>
        </w:rPr>
      </w:pPr>
      <w:r w:rsidRPr="00EE11C3">
        <w:rPr>
          <w:rFonts w:ascii="Segoe UI Light" w:hAnsi="Segoe UI Light" w:cs="Segoe UI Light"/>
          <w:sz w:val="24"/>
          <w:szCs w:val="24"/>
          <w:lang w:val="es"/>
        </w:rPr>
        <w:t xml:space="preserve">evitar actividades fraudulentas o engañosas en relación con la obtención de incentivos; Y </w:t>
      </w:r>
    </w:p>
    <w:p w14:paraId="0178F92F" w14:textId="012795C9" w:rsidR="00D86B68" w:rsidRPr="00EE11C3" w:rsidRDefault="00D86B68" w:rsidP="001A0271">
      <w:pPr>
        <w:numPr>
          <w:ilvl w:val="2"/>
          <w:numId w:val="2"/>
        </w:numPr>
        <w:ind w:hanging="360"/>
        <w:rPr>
          <w:rFonts w:ascii="Segoe UI Light" w:hAnsi="Segoe UI Light" w:cs="Segoe UI Light"/>
          <w:sz w:val="24"/>
          <w:szCs w:val="24"/>
        </w:rPr>
      </w:pPr>
      <w:r w:rsidRPr="00EE11C3">
        <w:rPr>
          <w:rFonts w:ascii="Segoe UI Light" w:hAnsi="Segoe UI Light" w:cs="Segoe UI Light"/>
          <w:sz w:val="24"/>
          <w:szCs w:val="24"/>
          <w:lang w:val="es"/>
        </w:rPr>
        <w:t>evidencia</w:t>
      </w:r>
      <w:r w:rsidR="003F4ABD">
        <w:rPr>
          <w:rFonts w:ascii="Segoe UI Light" w:hAnsi="Segoe UI Light" w:cs="Segoe UI Light"/>
          <w:sz w:val="24"/>
          <w:szCs w:val="24"/>
          <w:lang w:val="es"/>
        </w:rPr>
        <w:t>r</w:t>
      </w:r>
      <w:r w:rsidRPr="00EE11C3">
        <w:rPr>
          <w:rFonts w:ascii="Segoe UI Light" w:hAnsi="Segoe UI Light" w:cs="Segoe UI Light"/>
          <w:sz w:val="24"/>
          <w:szCs w:val="24"/>
          <w:lang w:val="es"/>
        </w:rPr>
        <w:t xml:space="preserve"> completa y precisa</w:t>
      </w:r>
      <w:r w:rsidR="003F4ABD">
        <w:rPr>
          <w:rFonts w:ascii="Segoe UI Light" w:hAnsi="Segoe UI Light" w:cs="Segoe UI Light"/>
          <w:sz w:val="24"/>
          <w:szCs w:val="24"/>
          <w:lang w:val="es"/>
        </w:rPr>
        <w:t>mente</w:t>
      </w:r>
      <w:r w:rsidRPr="00EE11C3">
        <w:rPr>
          <w:rFonts w:ascii="Segoe UI Light" w:hAnsi="Segoe UI Light" w:cs="Segoe UI Light"/>
          <w:sz w:val="24"/>
          <w:szCs w:val="24"/>
          <w:lang w:val="es"/>
        </w:rPr>
        <w:t xml:space="preserve"> </w:t>
      </w:r>
      <w:r w:rsidR="003F4ABD">
        <w:rPr>
          <w:rFonts w:ascii="Segoe UI Light" w:hAnsi="Segoe UI Light" w:cs="Segoe UI Light"/>
          <w:sz w:val="24"/>
          <w:szCs w:val="24"/>
          <w:lang w:val="es"/>
        </w:rPr>
        <w:t>la</w:t>
      </w:r>
      <w:r w:rsidRPr="00EE11C3">
        <w:rPr>
          <w:rFonts w:ascii="Segoe UI Light" w:hAnsi="Segoe UI Light" w:cs="Segoe UI Light"/>
          <w:sz w:val="24"/>
          <w:szCs w:val="24"/>
          <w:lang w:val="es"/>
        </w:rPr>
        <w:t xml:space="preserve"> relación con la obtención de incentivos. </w:t>
      </w:r>
    </w:p>
    <w:p w14:paraId="1DFF1DA6" w14:textId="77777777" w:rsidR="00D86B68" w:rsidRPr="00EE11C3" w:rsidRDefault="00D86B68" w:rsidP="001A0271">
      <w:pPr>
        <w:pStyle w:val="Heading2"/>
        <w:ind w:left="9"/>
        <w:jc w:val="both"/>
        <w:rPr>
          <w:rFonts w:ascii="Segoe UI Light" w:hAnsi="Segoe UI Light" w:cs="Segoe UI Light"/>
          <w:sz w:val="24"/>
          <w:szCs w:val="24"/>
        </w:rPr>
      </w:pPr>
      <w:r w:rsidRPr="00EE11C3">
        <w:rPr>
          <w:rFonts w:ascii="Segoe UI Light" w:hAnsi="Segoe UI Light" w:cs="Segoe UI Light"/>
          <w:noProof/>
          <w:sz w:val="24"/>
          <w:szCs w:val="24"/>
          <w:lang w:val="es"/>
        </w:rPr>
        <w:drawing>
          <wp:inline distT="0" distB="0" distL="0" distR="0" wp14:anchorId="3FA5A464" wp14:editId="50A061C6">
            <wp:extent cx="101346" cy="99822"/>
            <wp:effectExtent l="0" t="0" r="0" b="0"/>
            <wp:docPr id="2617" name="Picture 2617"/>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12"/>
                    <a:stretch>
                      <a:fillRect/>
                    </a:stretch>
                  </pic:blipFill>
                  <pic:spPr>
                    <a:xfrm>
                      <a:off x="0" y="0"/>
                      <a:ext cx="101346" cy="99822"/>
                    </a:xfrm>
                    <a:prstGeom prst="rect">
                      <a:avLst/>
                    </a:prstGeom>
                  </pic:spPr>
                </pic:pic>
              </a:graphicData>
            </a:graphic>
          </wp:inline>
        </w:drawing>
      </w:r>
      <w:r w:rsidRPr="00EE11C3">
        <w:rPr>
          <w:rFonts w:ascii="Segoe UI Light" w:hAnsi="Segoe UI Light" w:cs="Segoe UI Light"/>
          <w:sz w:val="24"/>
          <w:szCs w:val="24"/>
          <w:lang w:val="es"/>
        </w:rPr>
        <w:t xml:space="preserve"> Impuestos y Pagos </w:t>
      </w:r>
    </w:p>
    <w:p w14:paraId="5F212C40" w14:textId="77777777" w:rsidR="00D86B68" w:rsidRPr="00EE11C3" w:rsidRDefault="00D86B68" w:rsidP="001A0271">
      <w:pPr>
        <w:numPr>
          <w:ilvl w:val="0"/>
          <w:numId w:val="3"/>
        </w:numPr>
        <w:spacing w:after="0" w:line="265" w:lineRule="auto"/>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Impuestos</w:t>
      </w:r>
      <w:r w:rsidRPr="00EE11C3">
        <w:rPr>
          <w:rFonts w:ascii="Segoe UI Light" w:hAnsi="Segoe UI Light" w:cs="Segoe UI Light"/>
          <w:sz w:val="24"/>
          <w:szCs w:val="24"/>
          <w:lang w:val="es"/>
        </w:rPr>
        <w:t xml:space="preserve">. </w:t>
      </w:r>
    </w:p>
    <w:p w14:paraId="4E18385D" w14:textId="77777777" w:rsidR="00D86B68" w:rsidRPr="00EE11C3" w:rsidRDefault="00D86B68" w:rsidP="001A0271">
      <w:pPr>
        <w:numPr>
          <w:ilvl w:val="1"/>
          <w:numId w:val="3"/>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Ninguna de las partes es responsable de los impuestos que la otra está legalmente obligada a pagar, incluidos, entre otros, los impuestos sobre los ingresos netos o los ingresos brutos, los impuestos sobre franquicias y los impuestos sobre la propiedad, que se relacionen con las transacciones contempladas en este Acuerdo.  Excepto según lo establecido en la Sección 3.b en estos Términos Adicionales, cada parte pagará a la otra cualquier impuesto sobre las ventas, el uso o el valor agregado que deba debido a la celebración del Acuerdo y que la ley requiere que la otra parte le recate. Ninguna de las partes recaudará impuestos cubiertos por un certificado de exención válido proporcionado por la otra. Cada parte se compromete a indemnizar, defender y eximir a la otra parte de cualquier impuesto o reclamo, causa de acción, costos (incluyendo, sin limitación, honorarios razonables de abogados) y cualquier otra responsabilidad relacionada con las obligaciones tributarias de la parte indemnizadora. </w:t>
      </w:r>
    </w:p>
    <w:p w14:paraId="12372D51" w14:textId="77777777" w:rsidR="00D86B68" w:rsidRPr="00EE11C3" w:rsidRDefault="00D86B68" w:rsidP="001A0271">
      <w:pPr>
        <w:numPr>
          <w:ilvl w:val="1"/>
          <w:numId w:val="3"/>
        </w:numPr>
        <w:ind w:hanging="360"/>
        <w:rPr>
          <w:rFonts w:ascii="Segoe UI Light" w:hAnsi="Segoe UI Light" w:cs="Segoe UI Light"/>
          <w:sz w:val="24"/>
          <w:szCs w:val="24"/>
        </w:rPr>
      </w:pPr>
      <w:r w:rsidRPr="00EE11C3">
        <w:rPr>
          <w:rFonts w:ascii="Segoe UI Light" w:hAnsi="Segoe UI Light" w:cs="Segoe UI Light"/>
          <w:sz w:val="24"/>
          <w:szCs w:val="24"/>
          <w:lang w:val="es"/>
        </w:rPr>
        <w:lastRenderedPageBreak/>
        <w:t xml:space="preserve">Si la ley exige que los impuestos se retengan de cualquier pago de una parte a otra, dichos importes serán retenidos y pagados a la autoridad tributaria correspondiente. La parte que retenga dichos impuestos asegurará y entregará a la otra parte un recibo oficial de esas retenciones y otros documentos razonablemente solicitados por la otra parte con el fin de reclamar un crédito o reembolso de impuestos en el extranjero.  Las partes harán todos los esfuerzos razonables para minimizar los impuestos retenidos en la medida permitida por la ley. </w:t>
      </w:r>
    </w:p>
    <w:p w14:paraId="69D2349F" w14:textId="77777777" w:rsidR="00D86B68" w:rsidRPr="00EE11C3" w:rsidRDefault="00D86B68" w:rsidP="001A0271">
      <w:pPr>
        <w:numPr>
          <w:ilvl w:val="0"/>
          <w:numId w:val="3"/>
        </w:numPr>
        <w:spacing w:after="230" w:line="265" w:lineRule="auto"/>
        <w:ind w:hanging="360"/>
        <w:rPr>
          <w:rFonts w:ascii="Segoe UI Light" w:hAnsi="Segoe UI Light" w:cs="Segoe UI Light"/>
          <w:sz w:val="24"/>
          <w:szCs w:val="24"/>
        </w:rPr>
      </w:pPr>
      <w:r w:rsidRPr="00EE11C3">
        <w:rPr>
          <w:rFonts w:ascii="Segoe UI Light" w:hAnsi="Segoe UI Light" w:cs="Segoe UI Light"/>
          <w:sz w:val="24"/>
          <w:szCs w:val="24"/>
          <w:u w:val="single" w:color="000000"/>
          <w:lang w:val="es"/>
        </w:rPr>
        <w:t>Pagos de Fenix Alliance</w:t>
      </w:r>
      <w:r w:rsidRPr="00EE11C3">
        <w:rPr>
          <w:rFonts w:ascii="Segoe UI Light" w:hAnsi="Segoe UI Light" w:cs="Segoe UI Light"/>
          <w:sz w:val="24"/>
          <w:szCs w:val="24"/>
          <w:lang w:val="es"/>
        </w:rPr>
        <w:t xml:space="preserve">.  </w:t>
      </w:r>
    </w:p>
    <w:p w14:paraId="40399A71" w14:textId="3E79EDE4" w:rsidR="00D86B68" w:rsidRPr="00EE11C3" w:rsidRDefault="00D86B68" w:rsidP="001A0271">
      <w:pPr>
        <w:numPr>
          <w:ilvl w:val="1"/>
          <w:numId w:val="3"/>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Los términos específicos relacionados con los pagos de Fenix Alliance, incluidos los pagos de incentivos, varían según el Programa u Oferta de La </w:t>
      </w:r>
      <w:r w:rsidR="001A0271">
        <w:rPr>
          <w:rFonts w:ascii="Segoe UI Light" w:hAnsi="Segoe UI Light" w:cs="Segoe UI Light"/>
          <w:sz w:val="24"/>
          <w:szCs w:val="24"/>
          <w:lang w:val="es"/>
        </w:rPr>
        <w:t xml:space="preserve">Red de Asesores de Confianza de Fenix Alliance </w:t>
      </w:r>
      <w:r w:rsidR="001A0271" w:rsidRPr="00EE11C3">
        <w:rPr>
          <w:rFonts w:ascii="Segoe UI Light" w:hAnsi="Segoe UI Light" w:cs="Segoe UI Light"/>
          <w:sz w:val="24"/>
          <w:szCs w:val="24"/>
          <w:lang w:val="es"/>
        </w:rPr>
        <w:t>y</w:t>
      </w:r>
      <w:r w:rsidRPr="00EE11C3">
        <w:rPr>
          <w:rFonts w:ascii="Segoe UI Light" w:hAnsi="Segoe UI Light" w:cs="Segoe UI Light"/>
          <w:sz w:val="24"/>
          <w:szCs w:val="24"/>
          <w:lang w:val="es"/>
        </w:rPr>
        <w:t xml:space="preserve"> se incluyen en las Guías aplicables. Los pagos de incentivos están sujetos </w:t>
      </w:r>
      <w:r w:rsidR="00B77997" w:rsidRPr="00EE11C3">
        <w:rPr>
          <w:rFonts w:ascii="Segoe UI Light" w:hAnsi="Segoe UI Light" w:cs="Segoe UI Light"/>
          <w:sz w:val="24"/>
          <w:szCs w:val="24"/>
          <w:lang w:val="es"/>
        </w:rPr>
        <w:t>a las</w:t>
      </w:r>
      <w:r w:rsidRPr="00EE11C3">
        <w:rPr>
          <w:rFonts w:ascii="Segoe UI Light" w:hAnsi="Segoe UI Light" w:cs="Segoe UI Light"/>
          <w:sz w:val="24"/>
          <w:szCs w:val="24"/>
          <w:lang w:val="es"/>
        </w:rPr>
        <w:t xml:space="preserve"> reglas y políticas de cálculo y cumplimiento de Fenix Alliance, y a otros requisitos para registrar y ganar pagos de incentivos (incluidas las instrucciones de envío de facturas), que pueden describirse más detalladamente en la Guía del programa aplicable.  </w:t>
      </w:r>
    </w:p>
    <w:p w14:paraId="7CE6C35A" w14:textId="77777777" w:rsidR="00D86B68" w:rsidRPr="00EE11C3" w:rsidRDefault="00D86B68" w:rsidP="001A0271">
      <w:pPr>
        <w:numPr>
          <w:ilvl w:val="1"/>
          <w:numId w:val="3"/>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Salvo que se disponga lo contrario en la Guía del Programa aplicable, los pagos que reciba de Fenix Alliance incluyen cualquier impuesto aplicable sobre bienes y servicios, impuesto sobre el valor añadido, impuesto sobre las ventas, impuesto sobre los ingresos brutos o cualquier otro impuesto que sea aplicable. Es su única responsabilidad pagar todos los pagos relacionados con los impuestos aplicables de Fenix Alliance.  </w:t>
      </w:r>
    </w:p>
    <w:p w14:paraId="3BE15FE3" w14:textId="576ABE9D" w:rsidR="00D86B68" w:rsidRPr="00EE11C3" w:rsidRDefault="00D86B68" w:rsidP="001A0271">
      <w:pPr>
        <w:numPr>
          <w:ilvl w:val="1"/>
          <w:numId w:val="3"/>
        </w:numPr>
        <w:ind w:hanging="360"/>
        <w:rPr>
          <w:rFonts w:ascii="Segoe UI Light" w:hAnsi="Segoe UI Light" w:cs="Segoe UI Light"/>
          <w:sz w:val="24"/>
          <w:szCs w:val="24"/>
        </w:rPr>
      </w:pPr>
      <w:r w:rsidRPr="00EE11C3">
        <w:rPr>
          <w:rFonts w:ascii="Segoe UI Light" w:hAnsi="Segoe UI Light" w:cs="Segoe UI Light"/>
          <w:sz w:val="24"/>
          <w:szCs w:val="24"/>
          <w:lang w:val="es"/>
        </w:rPr>
        <w:t xml:space="preserve">En caso de que Fenix Alliance le pague en exceso, independientemente de la razón, Fenix Alliance puede recuperar dicho pago excesivo de usted deduciendo los montos de los pagos de incentivos futuros. Además de cualquier otro </w:t>
      </w:r>
      <w:r w:rsidR="001A0271" w:rsidRPr="00EE11C3">
        <w:rPr>
          <w:rFonts w:ascii="Segoe UI Light" w:hAnsi="Segoe UI Light" w:cs="Segoe UI Light"/>
          <w:sz w:val="24"/>
          <w:szCs w:val="24"/>
          <w:lang w:val="es"/>
        </w:rPr>
        <w:t>recurso, Fenix</w:t>
      </w:r>
      <w:r w:rsidRPr="00EE11C3">
        <w:rPr>
          <w:rFonts w:ascii="Segoe UI Light" w:hAnsi="Segoe UI Light" w:cs="Segoe UI Light"/>
          <w:sz w:val="24"/>
          <w:szCs w:val="24"/>
          <w:lang w:val="es"/>
        </w:rPr>
        <w:t xml:space="preserve"> Alliance puede reducir, cancelar o retener pagos de incentivos relacionados con su incumplimiento o incumplimiento en virtud del Acuerdo, términos adicionales o guía del programa, o no actuar de buena fe al tratar de obtener pagos de incentivos. Fenix Alliance le proporcionará una notificación por escrito de cualquier decisión de reducir, cancelar o retener los pagos de incentivos bajo esta Sección.  </w:t>
      </w:r>
    </w:p>
    <w:p w14:paraId="50285B9C" w14:textId="276F259B" w:rsidR="00D86B68" w:rsidRPr="00EE11C3" w:rsidRDefault="00D86B68" w:rsidP="001A0271">
      <w:pPr>
        <w:numPr>
          <w:ilvl w:val="0"/>
          <w:numId w:val="3"/>
        </w:numPr>
        <w:spacing w:after="273"/>
        <w:ind w:hanging="360"/>
        <w:rPr>
          <w:rFonts w:ascii="Segoe UI Light" w:hAnsi="Segoe UI Light" w:cs="Segoe UI Light"/>
          <w:sz w:val="24"/>
          <w:szCs w:val="24"/>
        </w:rPr>
      </w:pPr>
      <w:r w:rsidRPr="00EE11C3">
        <w:rPr>
          <w:rFonts w:ascii="Segoe UI Light" w:hAnsi="Segoe UI Light" w:cs="Segoe UI Light"/>
          <w:sz w:val="24"/>
          <w:szCs w:val="24"/>
          <w:lang w:val="es"/>
        </w:rPr>
        <w:t>Para disputas relacionadas con la decisión de Fenix Alliance de reducir, cancelar o retener pagos de incentivos bajo la Sección 3.b</w:t>
      </w:r>
      <w:r w:rsidR="001A0271">
        <w:rPr>
          <w:rFonts w:ascii="Segoe UI Light" w:hAnsi="Segoe UI Light" w:cs="Segoe UI Light"/>
          <w:sz w:val="24"/>
          <w:szCs w:val="24"/>
          <w:lang w:val="es"/>
        </w:rPr>
        <w:t>.</w:t>
      </w:r>
      <w:r w:rsidRPr="00EE11C3">
        <w:rPr>
          <w:rFonts w:ascii="Segoe UI Light" w:hAnsi="Segoe UI Light" w:cs="Segoe UI Light"/>
          <w:sz w:val="24"/>
          <w:szCs w:val="24"/>
          <w:lang w:val="es"/>
        </w:rPr>
        <w:t xml:space="preserve">3 en estos Términos Adicionales, </w:t>
      </w:r>
      <w:r w:rsidRPr="00EE11C3">
        <w:rPr>
          <w:rFonts w:ascii="Segoe UI Light" w:hAnsi="Segoe UI Light" w:cs="Segoe UI Light"/>
          <w:sz w:val="24"/>
          <w:szCs w:val="24"/>
          <w:lang w:val="es"/>
        </w:rPr>
        <w:lastRenderedPageBreak/>
        <w:t xml:space="preserve">debe ponerse en contacto con Fenix Alliance por escrito dentro de los 30 días posteriores a la recepción de la notificación de dicha acción, después de lo cual renuncia a cualquier derecho a disputar </w:t>
      </w:r>
      <w:r w:rsidR="001A0271" w:rsidRPr="00EE11C3">
        <w:rPr>
          <w:rFonts w:ascii="Segoe UI Light" w:hAnsi="Segoe UI Light" w:cs="Segoe UI Light"/>
          <w:sz w:val="24"/>
          <w:szCs w:val="24"/>
          <w:lang w:val="es"/>
        </w:rPr>
        <w:t>la decisión</w:t>
      </w:r>
      <w:r w:rsidRPr="00EE11C3">
        <w:rPr>
          <w:rFonts w:ascii="Segoe UI Light" w:hAnsi="Segoe UI Light" w:cs="Segoe UI Light"/>
          <w:sz w:val="24"/>
          <w:szCs w:val="24"/>
          <w:lang w:val="es"/>
        </w:rPr>
        <w:t xml:space="preserve"> de Fenix Alliance. Para todas las demás disputas relacionadas con los pagos de incentivos, debe ponerse en contacto con Fenix Alliance por escrito dentro de los 90 días posteriores a la recepción del pago de incentivos aplicable, después de lo cual renuncia a cualquier derecho a disputar </w:t>
      </w:r>
      <w:r w:rsidR="00B77997" w:rsidRPr="00EE11C3">
        <w:rPr>
          <w:rFonts w:ascii="Segoe UI Light" w:hAnsi="Segoe UI Light" w:cs="Segoe UI Light"/>
          <w:sz w:val="24"/>
          <w:szCs w:val="24"/>
          <w:lang w:val="es"/>
        </w:rPr>
        <w:t>la decisión</w:t>
      </w:r>
      <w:r w:rsidRPr="00EE11C3">
        <w:rPr>
          <w:rFonts w:ascii="Segoe UI Light" w:hAnsi="Segoe UI Light" w:cs="Segoe UI Light"/>
          <w:sz w:val="24"/>
          <w:szCs w:val="24"/>
          <w:lang w:val="es"/>
        </w:rPr>
        <w:t xml:space="preserve"> de Fenix Alliance.</w:t>
      </w:r>
    </w:p>
    <w:p w14:paraId="374F48D6" w14:textId="77777777" w:rsidR="00D86B68" w:rsidRPr="00EE11C3" w:rsidRDefault="00D86B68" w:rsidP="001A0271">
      <w:pPr>
        <w:pStyle w:val="Heading2"/>
        <w:spacing w:after="178"/>
        <w:ind w:left="9"/>
        <w:jc w:val="both"/>
        <w:rPr>
          <w:rFonts w:ascii="Segoe UI Light" w:hAnsi="Segoe UI Light" w:cs="Segoe UI Light"/>
          <w:sz w:val="24"/>
          <w:szCs w:val="24"/>
        </w:rPr>
      </w:pPr>
      <w:r w:rsidRPr="00EE11C3">
        <w:rPr>
          <w:rFonts w:ascii="Segoe UI Light" w:hAnsi="Segoe UI Light" w:cs="Segoe UI Light"/>
          <w:noProof/>
          <w:sz w:val="24"/>
          <w:szCs w:val="24"/>
          <w:lang w:val="es"/>
        </w:rPr>
        <w:drawing>
          <wp:inline distT="0" distB="0" distL="0" distR="0" wp14:anchorId="33D3D3C7" wp14:editId="607053E1">
            <wp:extent cx="105918" cy="98298"/>
            <wp:effectExtent l="0" t="0" r="0" b="0"/>
            <wp:docPr id="2759" name="Picture 2759"/>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13"/>
                    <a:stretch>
                      <a:fillRect/>
                    </a:stretch>
                  </pic:blipFill>
                  <pic:spPr>
                    <a:xfrm>
                      <a:off x="0" y="0"/>
                      <a:ext cx="105918" cy="98298"/>
                    </a:xfrm>
                    <a:prstGeom prst="rect">
                      <a:avLst/>
                    </a:prstGeom>
                  </pic:spPr>
                </pic:pic>
              </a:graphicData>
            </a:graphic>
          </wp:inline>
        </w:drawing>
      </w:r>
      <w:r w:rsidRPr="00EE11C3">
        <w:rPr>
          <w:rFonts w:ascii="Segoe UI Light" w:hAnsi="Segoe UI Light" w:cs="Segoe UI Light"/>
          <w:sz w:val="24"/>
          <w:szCs w:val="24"/>
          <w:lang w:val="es"/>
        </w:rPr>
        <w:t xml:space="preserve"> Términos alternativos para los incentivos </w:t>
      </w:r>
    </w:p>
    <w:p w14:paraId="70DA9A01" w14:textId="5FAADA0F" w:rsidR="00092D6C" w:rsidRPr="00EE11C3" w:rsidRDefault="00D86B68" w:rsidP="001A0271">
      <w:pPr>
        <w:spacing w:after="626"/>
        <w:ind w:left="0" w:firstLine="0"/>
        <w:rPr>
          <w:rFonts w:ascii="Segoe UI Light" w:hAnsi="Segoe UI Light" w:cs="Segoe UI Light"/>
          <w:sz w:val="24"/>
          <w:szCs w:val="24"/>
        </w:rPr>
      </w:pPr>
      <w:r w:rsidRPr="00EE11C3">
        <w:rPr>
          <w:rFonts w:ascii="Segoe UI Light" w:hAnsi="Segoe UI Light" w:cs="Segoe UI Light"/>
          <w:sz w:val="24"/>
          <w:szCs w:val="24"/>
          <w:lang w:val="es"/>
        </w:rPr>
        <w:t xml:space="preserve">Sin perjuicio de cualquier disposición en contrario en el Acuerdo, los </w:t>
      </w:r>
      <w:r w:rsidRPr="001A0271">
        <w:rPr>
          <w:rFonts w:ascii="Segoe UI Light" w:hAnsi="Segoe UI Light" w:cs="Segoe UI Light"/>
          <w:color w:val="2E74B5" w:themeColor="accent5" w:themeShade="BF"/>
          <w:sz w:val="24"/>
          <w:szCs w:val="24"/>
          <w:u w:val="single"/>
          <w:lang w:val="es"/>
        </w:rPr>
        <w:t xml:space="preserve">Términos Alternativos </w:t>
      </w:r>
      <w:hyperlink r:id="rId14"/>
      <w:r w:rsidRPr="001A0271">
        <w:rPr>
          <w:rFonts w:ascii="Segoe UI Light" w:hAnsi="Segoe UI Light" w:cs="Segoe UI Light"/>
          <w:color w:val="2E74B5" w:themeColor="accent5" w:themeShade="BF"/>
          <w:sz w:val="24"/>
          <w:szCs w:val="24"/>
          <w:u w:val="single"/>
          <w:lang w:val="es"/>
        </w:rPr>
        <w:t xml:space="preserve"> de Incentivos</w:t>
      </w:r>
      <w:r w:rsidRPr="00EE11C3">
        <w:rPr>
          <w:rFonts w:ascii="Segoe UI Light" w:hAnsi="Segoe UI Light" w:cs="Segoe UI Light"/>
          <w:sz w:val="24"/>
          <w:szCs w:val="24"/>
          <w:lang w:val="es"/>
        </w:rPr>
        <w:t xml:space="preserve"> se</w:t>
      </w:r>
      <w:hyperlink r:id="rId15"/>
      <w:r w:rsidRPr="00EE11C3">
        <w:rPr>
          <w:rFonts w:ascii="Segoe UI Light" w:hAnsi="Segoe UI Light" w:cs="Segoe UI Light"/>
          <w:sz w:val="24"/>
          <w:szCs w:val="24"/>
          <w:lang w:val="es"/>
        </w:rPr>
        <w:t xml:space="preserve"> aplicarán a los pagos de incentivos y/o Programas que se enumeran como dentro del alcance.</w:t>
      </w:r>
    </w:p>
    <w:sectPr w:rsidR="00092D6C" w:rsidRPr="00EE11C3" w:rsidSect="002409BE">
      <w:headerReference w:type="default" r:id="rId16"/>
      <w:footerReference w:type="even" r:id="rId17"/>
      <w:footerReference w:type="default" r:id="rId18"/>
      <w:footerReference w:type="first" r:id="rId19"/>
      <w:pgSz w:w="12240" w:h="15840"/>
      <w:pgMar w:top="1417" w:right="1701" w:bottom="1417" w:left="1701" w:header="720" w:footer="14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F164" w14:textId="77777777" w:rsidR="00E535AE" w:rsidRDefault="00E535AE">
      <w:pPr>
        <w:spacing w:after="0" w:line="240" w:lineRule="auto"/>
      </w:pPr>
      <w:r>
        <w:separator/>
      </w:r>
    </w:p>
  </w:endnote>
  <w:endnote w:type="continuationSeparator" w:id="0">
    <w:p w14:paraId="597E80F2" w14:textId="77777777" w:rsidR="00E535AE" w:rsidRDefault="00E5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ECFBB" w14:textId="77777777" w:rsidR="00571840" w:rsidRDefault="00D86B68">
    <w:pPr>
      <w:tabs>
        <w:tab w:val="center" w:pos="2669"/>
        <w:tab w:val="center" w:pos="5147"/>
        <w:tab w:val="right" w:pos="9364"/>
      </w:tabs>
      <w:spacing w:after="0"/>
      <w:ind w:left="0" w:firstLine="0"/>
      <w:jc w:val="left"/>
    </w:pPr>
    <w:r w:rsidRPr="00594E00">
      <w:rPr>
        <w:color w:val="7F7F7F"/>
        <w:sz w:val="16"/>
        <w:lang w:val="es"/>
      </w:rPr>
      <w:t>Acuerdo de red de socios de Asesor de confianza de La Alianza</w:t>
    </w:r>
    <w:r>
      <w:rPr>
        <w:color w:val="7F7F7F"/>
        <w:sz w:val="16"/>
        <w:lang w:val="es"/>
      </w:rPr>
      <w:t xml:space="preserve"> </w:t>
    </w:r>
    <w:r>
      <w:rPr>
        <w:color w:val="7F7F7F"/>
        <w:sz w:val="16"/>
        <w:lang w:val="es"/>
      </w:rPr>
      <w:tab/>
      <w:t xml:space="preserve"> </w:t>
    </w:r>
    <w:r>
      <w:rPr>
        <w:color w:val="7F7F7F"/>
        <w:sz w:val="16"/>
        <w:lang w:val="es"/>
      </w:rPr>
      <w:tab/>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7A840F79"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37528D4B" w14:textId="77777777" w:rsidR="00571840" w:rsidRDefault="00D86B68">
    <w:pPr>
      <w:spacing w:after="0"/>
      <w:ind w:left="0" w:firstLine="0"/>
      <w:jc w:val="left"/>
    </w:pPr>
    <w:r>
      <w:rPr>
        <w:lang w:val="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404A" w14:textId="2A59DC16" w:rsidR="00571840" w:rsidRDefault="00D86B68">
    <w:pPr>
      <w:tabs>
        <w:tab w:val="center" w:pos="2669"/>
        <w:tab w:val="center" w:pos="5147"/>
        <w:tab w:val="right" w:pos="9364"/>
      </w:tabs>
      <w:spacing w:after="0"/>
      <w:ind w:left="0" w:firstLine="0"/>
      <w:jc w:val="left"/>
    </w:pPr>
    <w:r w:rsidRPr="00594E00">
      <w:rPr>
        <w:color w:val="7F7F7F"/>
        <w:sz w:val="16"/>
        <w:lang w:val="es"/>
      </w:rPr>
      <w:t xml:space="preserve">Acuerdo de </w:t>
    </w:r>
    <w:r w:rsidR="002C02F1">
      <w:rPr>
        <w:color w:val="7F7F7F"/>
        <w:sz w:val="16"/>
        <w:lang w:val="es"/>
      </w:rPr>
      <w:t>R</w:t>
    </w:r>
    <w:r w:rsidRPr="00594E00">
      <w:rPr>
        <w:color w:val="7F7F7F"/>
        <w:sz w:val="16"/>
        <w:lang w:val="es"/>
      </w:rPr>
      <w:t>ed de Asesor</w:t>
    </w:r>
    <w:r w:rsidR="002C02F1">
      <w:rPr>
        <w:color w:val="7F7F7F"/>
        <w:sz w:val="16"/>
        <w:lang w:val="es"/>
      </w:rPr>
      <w:t>es</w:t>
    </w:r>
    <w:r w:rsidRPr="00594E00">
      <w:rPr>
        <w:color w:val="7F7F7F"/>
        <w:sz w:val="16"/>
        <w:lang w:val="es"/>
      </w:rPr>
      <w:t xml:space="preserve"> de </w:t>
    </w:r>
    <w:r w:rsidR="002C02F1">
      <w:rPr>
        <w:color w:val="7F7F7F"/>
        <w:sz w:val="16"/>
        <w:lang w:val="es"/>
      </w:rPr>
      <w:t>C</w:t>
    </w:r>
    <w:r w:rsidRPr="00594E00">
      <w:rPr>
        <w:color w:val="7F7F7F"/>
        <w:sz w:val="16"/>
        <w:lang w:val="es"/>
      </w:rPr>
      <w:t>onfianza de</w:t>
    </w:r>
    <w:r w:rsidR="002C02F1">
      <w:rPr>
        <w:color w:val="7F7F7F"/>
        <w:sz w:val="16"/>
        <w:lang w:val="es"/>
      </w:rPr>
      <w:t xml:space="preserve"> Fenix Alliance</w:t>
    </w:r>
    <w:r>
      <w:rPr>
        <w:color w:val="7F7F7F"/>
        <w:sz w:val="16"/>
        <w:lang w:val="es"/>
      </w:rPr>
      <w:tab/>
      <w:t xml:space="preserve"> </w:t>
    </w:r>
    <w:r>
      <w:rPr>
        <w:color w:val="7F7F7F"/>
        <w:sz w:val="16"/>
        <w:lang w:val="es"/>
      </w:rPr>
      <w:tab/>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4E5D1C0B"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65099E92" w14:textId="77777777" w:rsidR="00571840" w:rsidRDefault="00D86B68">
    <w:pPr>
      <w:spacing w:after="0"/>
      <w:ind w:left="0" w:firstLine="0"/>
      <w:jc w:val="left"/>
    </w:pPr>
    <w:r>
      <w:rPr>
        <w:lang w:val="e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3F3F" w14:textId="77777777" w:rsidR="00571840" w:rsidRDefault="00D86B68">
    <w:pPr>
      <w:tabs>
        <w:tab w:val="center" w:pos="2669"/>
        <w:tab w:val="center" w:pos="5147"/>
        <w:tab w:val="right" w:pos="9364"/>
      </w:tabs>
      <w:spacing w:after="0"/>
      <w:ind w:left="0" w:firstLine="0"/>
      <w:jc w:val="left"/>
    </w:pPr>
    <w:r>
      <w:rPr>
        <w:sz w:val="22"/>
        <w:lang w:val="es"/>
      </w:rPr>
      <w:tab/>
    </w:r>
    <w:r>
      <w:rPr>
        <w:color w:val="7F7F7F"/>
        <w:sz w:val="16"/>
        <w:lang w:val="es"/>
      </w:rPr>
      <w:t xml:space="preserve"> </w:t>
    </w:r>
    <w:r>
      <w:rPr>
        <w:color w:val="7F7F7F"/>
        <w:sz w:val="16"/>
        <w:lang w:val="es"/>
      </w:rPr>
      <w:tab/>
      <w:t xml:space="preserve"> </w:t>
    </w:r>
    <w:r>
      <w:rPr>
        <w:color w:val="7F7F7F"/>
        <w:sz w:val="16"/>
        <w:lang w:val="es"/>
      </w:rPr>
      <w:tab/>
      <w:t xml:space="preserve">Página </w:t>
    </w:r>
    <w:r>
      <w:rPr>
        <w:lang w:val="es"/>
      </w:rPr>
      <w:fldChar w:fldCharType="begin"/>
    </w:r>
    <w:r>
      <w:rPr>
        <w:lang w:val="es"/>
      </w:rPr>
      <w:instrText xml:space="preserve"> PAGE   \* MERGEFORMAT </w:instrText>
    </w:r>
    <w:r>
      <w:rPr>
        <w:lang w:val="es"/>
      </w:rPr>
      <w:fldChar w:fldCharType="separate"/>
    </w:r>
    <w:r>
      <w:rPr>
        <w:color w:val="7F7F7F"/>
        <w:sz w:val="16"/>
        <w:lang w:val="es"/>
      </w:rPr>
      <w:t>1</w:t>
    </w:r>
    <w:r>
      <w:rPr>
        <w:color w:val="7F7F7F"/>
        <w:sz w:val="16"/>
        <w:lang w:val="es"/>
      </w:rPr>
      <w:fldChar w:fldCharType="end"/>
    </w:r>
    <w:r>
      <w:rPr>
        <w:color w:val="7F7F7F"/>
        <w:sz w:val="16"/>
        <w:lang w:val="es"/>
      </w:rPr>
      <w:t xml:space="preserve"> de 4 </w:t>
    </w:r>
  </w:p>
  <w:p w14:paraId="3F3B52E4" w14:textId="77777777" w:rsidR="00571840" w:rsidRDefault="00D86B68">
    <w:pPr>
      <w:spacing w:after="0"/>
      <w:ind w:left="108" w:firstLine="0"/>
      <w:jc w:val="left"/>
    </w:pPr>
    <w:r>
      <w:rPr>
        <w:color w:val="7F7F7F"/>
        <w:lang w:val="es"/>
      </w:rPr>
      <w:t xml:space="preserve"> </w:t>
    </w:r>
    <w:r>
      <w:rPr>
        <w:color w:val="7F7F7F"/>
        <w:sz w:val="16"/>
        <w:lang w:val="es"/>
      </w:rPr>
      <w:t xml:space="preserve"> </w:t>
    </w:r>
  </w:p>
  <w:p w14:paraId="61E7CA2B" w14:textId="77777777" w:rsidR="00571840" w:rsidRDefault="00D86B68">
    <w:pPr>
      <w:spacing w:after="0"/>
      <w:ind w:left="0" w:firstLine="0"/>
      <w:jc w:val="left"/>
    </w:pPr>
    <w:r>
      <w:rPr>
        <w:lang w:val="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B820" w14:textId="77777777" w:rsidR="00E535AE" w:rsidRDefault="00E535AE">
      <w:pPr>
        <w:spacing w:after="0" w:line="240" w:lineRule="auto"/>
      </w:pPr>
      <w:r>
        <w:separator/>
      </w:r>
    </w:p>
  </w:footnote>
  <w:footnote w:type="continuationSeparator" w:id="0">
    <w:p w14:paraId="09A1320C" w14:textId="77777777" w:rsidR="00E535AE" w:rsidRDefault="00E5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3DE04" w14:textId="69ACA85D" w:rsidR="00EE11C3" w:rsidRDefault="00EE11C3" w:rsidP="00EE11C3">
    <w:pPr>
      <w:pStyle w:val="Header"/>
      <w:jc w:val="right"/>
    </w:pPr>
    <w:r>
      <w:rPr>
        <w:noProof/>
      </w:rPr>
      <w:drawing>
        <wp:inline distT="0" distB="0" distL="0" distR="0" wp14:anchorId="1FC3EE66" wp14:editId="3A9D8723">
          <wp:extent cx="1563529"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E151D"/>
    <w:multiLevelType w:val="hybridMultilevel"/>
    <w:tmpl w:val="43B012A2"/>
    <w:lvl w:ilvl="0" w:tplc="0FB4C33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8C49F8E">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9C2E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2EF89C">
      <w:start w:val="1"/>
      <w:numFmt w:val="bullet"/>
      <w:lvlText w:val="•"/>
      <w:lvlJc w:val="left"/>
      <w:pPr>
        <w:ind w:left="2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6C32A0">
      <w:start w:val="1"/>
      <w:numFmt w:val="bullet"/>
      <w:lvlText w:val="o"/>
      <w:lvlJc w:val="left"/>
      <w:pPr>
        <w:ind w:left="3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F23866">
      <w:start w:val="1"/>
      <w:numFmt w:val="bullet"/>
      <w:lvlText w:val="▪"/>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4AD284">
      <w:start w:val="1"/>
      <w:numFmt w:val="bullet"/>
      <w:lvlText w:val="•"/>
      <w:lvlJc w:val="left"/>
      <w:pPr>
        <w:ind w:left="4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DC2FA2">
      <w:start w:val="1"/>
      <w:numFmt w:val="bullet"/>
      <w:lvlText w:val="o"/>
      <w:lvlJc w:val="left"/>
      <w:pPr>
        <w:ind w:left="5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59F6">
      <w:start w:val="1"/>
      <w:numFmt w:val="bullet"/>
      <w:lvlText w:val="▪"/>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8D17A8"/>
    <w:multiLevelType w:val="hybridMultilevel"/>
    <w:tmpl w:val="6A8ABCC2"/>
    <w:lvl w:ilvl="0" w:tplc="15A22C44">
      <w:start w:val="1"/>
      <w:numFmt w:val="lowerLetter"/>
      <w:lvlText w:val="%1."/>
      <w:lvlJc w:val="left"/>
      <w:pPr>
        <w:ind w:left="70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EDAD528">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93C259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F6E8CE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08269A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A262C5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186E50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D68D24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5BE851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3E336C"/>
    <w:multiLevelType w:val="hybridMultilevel"/>
    <w:tmpl w:val="F5C8BD7C"/>
    <w:lvl w:ilvl="0" w:tplc="BED4465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BE638C6">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A062758">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D6C27F4A">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E2ADDBE">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4F280A24">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637617D6">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B718B1C6">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B44D08E">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83"/>
    <w:rsid w:val="00092D6C"/>
    <w:rsid w:val="00180C2B"/>
    <w:rsid w:val="001A0271"/>
    <w:rsid w:val="002409BE"/>
    <w:rsid w:val="002C02F1"/>
    <w:rsid w:val="003F4ABD"/>
    <w:rsid w:val="00524683"/>
    <w:rsid w:val="00575188"/>
    <w:rsid w:val="005C7006"/>
    <w:rsid w:val="007233CF"/>
    <w:rsid w:val="00911C99"/>
    <w:rsid w:val="00A35181"/>
    <w:rsid w:val="00B77997"/>
    <w:rsid w:val="00D86B68"/>
    <w:rsid w:val="00E535AE"/>
    <w:rsid w:val="00EE11C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6143"/>
  <w15:chartTrackingRefBased/>
  <w15:docId w15:val="{43727745-828E-4916-AD27-A2440C6D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68"/>
    <w:pPr>
      <w:spacing w:after="197"/>
      <w:ind w:left="370" w:hanging="370"/>
      <w:jc w:val="both"/>
    </w:pPr>
    <w:rPr>
      <w:rFonts w:ascii="Segoe UI" w:eastAsia="Segoe UI" w:hAnsi="Segoe UI" w:cs="Segoe UI"/>
      <w:color w:val="000000"/>
      <w:sz w:val="20"/>
    </w:rPr>
  </w:style>
  <w:style w:type="paragraph" w:styleId="Heading1">
    <w:name w:val="heading 1"/>
    <w:next w:val="Normal"/>
    <w:link w:val="Heading1Char"/>
    <w:uiPriority w:val="9"/>
    <w:qFormat/>
    <w:rsid w:val="00D86B68"/>
    <w:pPr>
      <w:keepNext/>
      <w:keepLines/>
      <w:spacing w:after="29"/>
      <w:ind w:left="10" w:hanging="10"/>
      <w:outlineLvl w:val="0"/>
    </w:pPr>
    <w:rPr>
      <w:rFonts w:ascii="Segoe UI" w:eastAsia="Segoe UI" w:hAnsi="Segoe UI" w:cs="Segoe UI"/>
      <w:color w:val="000000"/>
      <w:sz w:val="32"/>
    </w:rPr>
  </w:style>
  <w:style w:type="paragraph" w:styleId="Heading2">
    <w:name w:val="heading 2"/>
    <w:next w:val="Normal"/>
    <w:link w:val="Heading2Char"/>
    <w:uiPriority w:val="9"/>
    <w:unhideWhenUsed/>
    <w:qFormat/>
    <w:rsid w:val="00D86B68"/>
    <w:pPr>
      <w:keepNext/>
      <w:keepLines/>
      <w:spacing w:after="212"/>
      <w:ind w:left="24" w:hanging="10"/>
      <w:outlineLvl w:val="1"/>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68"/>
    <w:rPr>
      <w:rFonts w:ascii="Segoe UI" w:eastAsia="Segoe UI" w:hAnsi="Segoe UI" w:cs="Segoe UI"/>
      <w:color w:val="000000"/>
      <w:sz w:val="32"/>
    </w:rPr>
  </w:style>
  <w:style w:type="character" w:customStyle="1" w:styleId="Heading2Char">
    <w:name w:val="Heading 2 Char"/>
    <w:basedOn w:val="DefaultParagraphFont"/>
    <w:link w:val="Heading2"/>
    <w:uiPriority w:val="9"/>
    <w:rsid w:val="00D86B68"/>
    <w:rPr>
      <w:rFonts w:ascii="Segoe UI" w:eastAsia="Segoe UI" w:hAnsi="Segoe UI" w:cs="Segoe UI"/>
      <w:b/>
      <w:color w:val="000000"/>
      <w:sz w:val="20"/>
    </w:rPr>
  </w:style>
  <w:style w:type="paragraph" w:styleId="Header">
    <w:name w:val="header"/>
    <w:basedOn w:val="Normal"/>
    <w:link w:val="HeaderChar"/>
    <w:uiPriority w:val="99"/>
    <w:unhideWhenUsed/>
    <w:rsid w:val="00EE11C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1C3"/>
    <w:rPr>
      <w:rFonts w:ascii="Segoe UI" w:eastAsia="Segoe UI" w:hAnsi="Segoe UI" w:cs="Segoe UI"/>
      <w:color w:val="000000"/>
      <w:sz w:val="20"/>
    </w:rPr>
  </w:style>
  <w:style w:type="paragraph" w:styleId="ListParagraph">
    <w:name w:val="List Paragraph"/>
    <w:basedOn w:val="Normal"/>
    <w:uiPriority w:val="34"/>
    <w:qFormat/>
    <w:rsid w:val="005C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ssetsprod.microsoft.com/alternative-terms-for-incentives.pdf"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setsprod.microsoft.com/alternative-terms-for-incentiv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657BF4-C594-4034-883B-B8AAE673B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BB5F9D-2278-4E4F-A59F-B7BF24498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2D2667-F5F0-4EA6-8C8D-AB98578461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2227</Words>
  <Characters>11965</Characters>
  <Application>Microsoft Office Word</Application>
  <DocSecurity>0</DocSecurity>
  <Lines>196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8</cp:revision>
  <dcterms:created xsi:type="dcterms:W3CDTF">2020-09-20T02:35:00Z</dcterms:created>
  <dcterms:modified xsi:type="dcterms:W3CDTF">2020-09-21T14:32:00Z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