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E6FB" w14:textId="034072BA" w:rsidR="00F9058D" w:rsidRPr="00736982" w:rsidRDefault="00AC6976" w:rsidP="00736982">
      <w:pPr>
        <w:pStyle w:val="Heading1"/>
        <w:rPr>
          <w:rFonts w:ascii="Segoe UI Light" w:hAnsi="Segoe UI Light" w:cs="Segoe UI Light"/>
          <w:color w:val="2E74B5" w:themeColor="accent5" w:themeShade="BF"/>
          <w:sz w:val="28"/>
          <w:szCs w:val="20"/>
        </w:rPr>
      </w:pPr>
      <w:r w:rsidRPr="00736982">
        <w:rPr>
          <w:rFonts w:ascii="Segoe UI Light" w:hAnsi="Segoe UI Light" w:cs="Segoe UI Light"/>
          <w:color w:val="2E74B5" w:themeColor="accent5" w:themeShade="BF"/>
          <w:sz w:val="28"/>
          <w:szCs w:val="20"/>
        </w:rPr>
        <w:t xml:space="preserve">Apéndice A.2: Términos alternativos para los incentivos </w:t>
      </w:r>
    </w:p>
    <w:p w14:paraId="30F0E98C" w14:textId="77777777" w:rsidR="00736982" w:rsidRDefault="00736982" w:rsidP="00F9058D">
      <w:pPr>
        <w:ind w:left="0" w:firstLine="0"/>
        <w:rPr>
          <w:rFonts w:ascii="Segoe UI Light" w:hAnsi="Segoe UI Light" w:cs="Segoe UI Light"/>
          <w:sz w:val="24"/>
          <w:szCs w:val="24"/>
          <w:lang w:val="es-419"/>
        </w:rPr>
      </w:pPr>
    </w:p>
    <w:p w14:paraId="7BE5A06B" w14:textId="5A7E0E21" w:rsidR="00F9058D" w:rsidRPr="000F0FC8" w:rsidRDefault="00F9058D" w:rsidP="00F9058D">
      <w:pPr>
        <w:ind w:left="0" w:firstLine="0"/>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Los Términos Alternativos para Incentivos a continuación reemplazarán o complementarán las disposiciones equivalentes en los Términos Adicionales para los Programas de Alliance Trusted Advisor como se indica. En caso de conflicto entre las Disposiciones Específicas por País en el Acuerdo de Asesor de Confianza de </w:t>
      </w:r>
      <w:r w:rsidR="00C015BC" w:rsidRPr="000F0FC8">
        <w:rPr>
          <w:rFonts w:ascii="Segoe UI Light" w:hAnsi="Segoe UI Light" w:cs="Segoe UI Light"/>
          <w:sz w:val="24"/>
          <w:szCs w:val="24"/>
          <w:lang w:val="es-419"/>
        </w:rPr>
        <w:t xml:space="preserve">Fenix Alliance </w:t>
      </w:r>
      <w:r w:rsidRPr="000F0FC8">
        <w:rPr>
          <w:rFonts w:ascii="Segoe UI Light" w:hAnsi="Segoe UI Light" w:cs="Segoe UI Light"/>
          <w:sz w:val="24"/>
          <w:szCs w:val="24"/>
          <w:lang w:val="es-419"/>
        </w:rPr>
        <w:t>y estos Términos Alternativos de Incentivos, estos Términos Alternativos de Incentivos regirán con respecto a los pa</w:t>
      </w:r>
      <w:bookmarkStart w:id="0" w:name="_GoBack"/>
      <w:bookmarkEnd w:id="0"/>
      <w:r w:rsidRPr="000F0FC8">
        <w:rPr>
          <w:rFonts w:ascii="Segoe UI Light" w:hAnsi="Segoe UI Light" w:cs="Segoe UI Light"/>
          <w:sz w:val="24"/>
          <w:szCs w:val="24"/>
          <w:lang w:val="es-419"/>
        </w:rPr>
        <w:t xml:space="preserve">gos de incentivos. </w:t>
      </w:r>
    </w:p>
    <w:p w14:paraId="32BBB4B7" w14:textId="45C20C56" w:rsidR="00F9058D" w:rsidRPr="000F0FC8" w:rsidRDefault="00F9058D" w:rsidP="00F9058D">
      <w:pPr>
        <w:pStyle w:val="Heading2"/>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1. Aplicabilidad </w:t>
      </w:r>
    </w:p>
    <w:p w14:paraId="66109351" w14:textId="4F2A1951" w:rsidR="00F9058D" w:rsidRPr="000F0FC8" w:rsidRDefault="00F9058D" w:rsidP="00F9058D">
      <w:pPr>
        <w:ind w:left="0" w:firstLine="0"/>
        <w:rPr>
          <w:rFonts w:ascii="Segoe UI Light" w:hAnsi="Segoe UI Light" w:cs="Segoe UI Light"/>
          <w:sz w:val="24"/>
          <w:szCs w:val="24"/>
          <w:lang w:val="es-419"/>
        </w:rPr>
      </w:pPr>
      <w:r w:rsidRPr="000F0FC8">
        <w:rPr>
          <w:rFonts w:ascii="Segoe UI Light" w:hAnsi="Segoe UI Light" w:cs="Segoe UI Light"/>
          <w:sz w:val="24"/>
          <w:szCs w:val="24"/>
          <w:lang w:val="es-419"/>
        </w:rPr>
        <w:t>a. Estos Términos Alternativos de Incentivos se aplican a los siguientes programas de incentivos (según se define en las Guías del Programa aplicables): (1) Empresa, (2) Distribuidor Comercial</w:t>
      </w:r>
      <w:r w:rsidR="00947E59" w:rsidRPr="000F0FC8">
        <w:rPr>
          <w:rFonts w:ascii="Segoe UI Light" w:hAnsi="Segoe UI Light" w:cs="Segoe UI Light"/>
          <w:sz w:val="24"/>
          <w:szCs w:val="24"/>
          <w:lang w:val="es-419"/>
        </w:rPr>
        <w:t>.</w:t>
      </w:r>
    </w:p>
    <w:p w14:paraId="3565D4D3" w14:textId="7DA22EFF" w:rsidR="00F9058D" w:rsidRPr="000F0FC8" w:rsidRDefault="00F9058D" w:rsidP="00F9058D">
      <w:pPr>
        <w:pStyle w:val="Heading2"/>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2. Impuestos sobre Pagos de Incentivos. </w:t>
      </w:r>
    </w:p>
    <w:p w14:paraId="1EA270F4" w14:textId="77777777" w:rsidR="00F9058D" w:rsidRPr="000F0FC8" w:rsidRDefault="00F9058D" w:rsidP="00F9058D">
      <w:pPr>
        <w:ind w:left="0" w:firstLine="0"/>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Si se encuentra en Francia, el Reino Unido, Alemania, Australia, Austria, Bélgica, Dinamarca, Finlandia, Italia, los Países Bajos, Noruega, Portugal, España, Suecia, Suiza o Nueva Zelanda, se aplicarán los siguientes términos alternativos para los incentivos: </w:t>
      </w:r>
    </w:p>
    <w:p w14:paraId="1C34E1C4" w14:textId="77B764ED" w:rsidR="00D032C8" w:rsidRPr="000F0FC8" w:rsidRDefault="00F9058D" w:rsidP="00F9058D">
      <w:pPr>
        <w:ind w:left="0" w:firstLine="0"/>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Impuestos. Los pagos que surjan de este Acuerdo se emiten en forma de un abono de Fenix Alliance (u otro método de pago normal dependiendo de la jurisdicción de la Empresa) basado en la práctica estándar de Fenix Alliance. Los pagos que la Compañía reciba en virtud de este Acuerdo serán exclusivos de cualquier impuesto aplicable sobre bienes y servicios, impuesto sobre el valor agregado, impuesto sobre las ventas, impuesto sobre los ingresos brutos o cualquier otro impuesto que deba Fenix Alliance relacionado con los pagos.  Se recomienda que la Compañía consulte a un asesor fiscal con cualquier pregunta o preocupación sobre los impuestos que se le aplican en relación con este Acuerdo. </w:t>
      </w:r>
    </w:p>
    <w:p w14:paraId="5AF79EA4" w14:textId="6B5AC7AC" w:rsidR="00F9058D" w:rsidRPr="000F0FC8" w:rsidRDefault="00F9058D" w:rsidP="00F9058D">
      <w:pPr>
        <w:pStyle w:val="Heading2"/>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3. Ley aplicable.  </w:t>
      </w:r>
    </w:p>
    <w:p w14:paraId="251114BE" w14:textId="4BE8213A" w:rsidR="00F9058D" w:rsidRPr="000F0FC8" w:rsidRDefault="00F9058D" w:rsidP="00F9058D">
      <w:pPr>
        <w:ind w:left="0" w:firstLine="0"/>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No obstante lo dispuesto en la Sección </w:t>
      </w:r>
      <w:r w:rsidR="00482AD0" w:rsidRPr="000F0FC8">
        <w:rPr>
          <w:rFonts w:ascii="Segoe UI Light" w:hAnsi="Segoe UI Light" w:cs="Segoe UI Light"/>
          <w:sz w:val="24"/>
          <w:szCs w:val="24"/>
          <w:lang w:val="es-419"/>
        </w:rPr>
        <w:t>9.22</w:t>
      </w:r>
      <w:r w:rsidRPr="000F0FC8">
        <w:rPr>
          <w:rFonts w:ascii="Segoe UI Light" w:hAnsi="Segoe UI Light" w:cs="Segoe UI Light"/>
          <w:sz w:val="24"/>
          <w:szCs w:val="24"/>
          <w:lang w:val="es-419"/>
        </w:rPr>
        <w:t xml:space="preserve"> del Acuerdo de Asesor de Confianza de </w:t>
      </w:r>
      <w:r w:rsidR="007620F2" w:rsidRPr="000F0FC8">
        <w:rPr>
          <w:rFonts w:ascii="Segoe UI Light" w:hAnsi="Segoe UI Light" w:cs="Segoe UI Light"/>
          <w:sz w:val="24"/>
          <w:szCs w:val="24"/>
          <w:lang w:val="es-419"/>
        </w:rPr>
        <w:t>Fenix Alliance</w:t>
      </w:r>
      <w:r w:rsidRPr="000F0FC8">
        <w:rPr>
          <w:rFonts w:ascii="Segoe UI Light" w:hAnsi="Segoe UI Light" w:cs="Segoe UI Light"/>
          <w:sz w:val="24"/>
          <w:szCs w:val="24"/>
          <w:lang w:val="es-419"/>
        </w:rPr>
        <w:t>, si se encuentra en Brasil,</w:t>
      </w:r>
      <w:r w:rsidR="000F0FC8" w:rsidRPr="000F0FC8">
        <w:rPr>
          <w:rFonts w:ascii="Segoe UI Light" w:hAnsi="Segoe UI Light" w:cs="Segoe UI Light"/>
          <w:sz w:val="24"/>
          <w:szCs w:val="24"/>
          <w:lang w:val="es-419"/>
        </w:rPr>
        <w:t xml:space="preserve"> Colombia,</w:t>
      </w:r>
      <w:r w:rsidRPr="000F0FC8">
        <w:rPr>
          <w:rFonts w:ascii="Segoe UI Light" w:hAnsi="Segoe UI Light" w:cs="Segoe UI Light"/>
          <w:sz w:val="24"/>
          <w:szCs w:val="24"/>
          <w:lang w:val="es-419"/>
        </w:rPr>
        <w:t xml:space="preserve"> Francia, reino Unido, Alemania, Australia, Austria, Bélgica, Dinamarca, Finlandia, Italia, Países Bajos, Noruega, Portugal, España, Suecia, Suiza o Nueva Zelanda, las partes: (1) acuerdan que los Términos Adicionales para los Programas de </w:t>
      </w:r>
      <w:r w:rsidR="00845CED" w:rsidRPr="000F0FC8">
        <w:rPr>
          <w:rFonts w:ascii="Segoe UI Light" w:hAnsi="Segoe UI Light" w:cs="Segoe UI Light"/>
          <w:sz w:val="24"/>
          <w:szCs w:val="24"/>
          <w:lang w:val="es-419"/>
        </w:rPr>
        <w:t xml:space="preserve">Asesores de Confianza de Fenix Alliance </w:t>
      </w:r>
      <w:r w:rsidRPr="000F0FC8">
        <w:rPr>
          <w:rFonts w:ascii="Segoe UI Light" w:hAnsi="Segoe UI Light" w:cs="Segoe UI Light"/>
          <w:sz w:val="24"/>
          <w:szCs w:val="24"/>
          <w:lang w:val="es-419"/>
        </w:rPr>
        <w:t xml:space="preserve">se rigen e interpretan de acuerdo con las leyes del país en el que se encuentra; y (2) para disputas relacionadas </w:t>
      </w:r>
      <w:r w:rsidRPr="000F0FC8">
        <w:rPr>
          <w:rFonts w:ascii="Segoe UI Light" w:hAnsi="Segoe UI Light" w:cs="Segoe UI Light"/>
          <w:sz w:val="24"/>
          <w:szCs w:val="24"/>
          <w:lang w:val="es-419"/>
        </w:rPr>
        <w:lastRenderedPageBreak/>
        <w:t xml:space="preserve">con los Términos Adicionales para los Programas de </w:t>
      </w:r>
      <w:r w:rsidR="000F0FC8" w:rsidRPr="000F0FC8">
        <w:rPr>
          <w:rFonts w:ascii="Segoe UI Light" w:hAnsi="Segoe UI Light" w:cs="Segoe UI Light"/>
          <w:sz w:val="24"/>
          <w:szCs w:val="24"/>
          <w:lang w:val="es-419"/>
        </w:rPr>
        <w:t>Asesores de Confianza de Fenix Alliance</w:t>
      </w:r>
      <w:r w:rsidRPr="000F0FC8">
        <w:rPr>
          <w:rFonts w:ascii="Segoe UI Light" w:hAnsi="Segoe UI Light" w:cs="Segoe UI Light"/>
          <w:sz w:val="24"/>
          <w:szCs w:val="24"/>
          <w:lang w:val="es-419"/>
        </w:rPr>
        <w:t>, consentimiento a la jurisdicción y competencia en los tribunales del país en el que se encuentra.</w:t>
      </w:r>
    </w:p>
    <w:p w14:paraId="1B557E10" w14:textId="4A61E642" w:rsidR="00F9058D" w:rsidRPr="000F0FC8" w:rsidRDefault="00F9058D" w:rsidP="000F0FC8">
      <w:pPr>
        <w:pStyle w:val="Heading2"/>
        <w:rPr>
          <w:rFonts w:ascii="Segoe UI Light" w:hAnsi="Segoe UI Light" w:cs="Segoe UI Light"/>
          <w:sz w:val="24"/>
          <w:szCs w:val="24"/>
          <w:lang w:val="es-419"/>
        </w:rPr>
      </w:pPr>
      <w:r w:rsidRPr="000F0FC8">
        <w:rPr>
          <w:rFonts w:ascii="Segoe UI Light" w:hAnsi="Segoe UI Light" w:cs="Segoe UI Light"/>
          <w:sz w:val="24"/>
          <w:szCs w:val="24"/>
          <w:lang w:val="es-419"/>
        </w:rPr>
        <w:t>4. Entidad Contratante de la Fenix Alliance</w:t>
      </w:r>
      <w:r w:rsidR="000C6141">
        <w:rPr>
          <w:rFonts w:ascii="Segoe UI Light" w:hAnsi="Segoe UI Light" w:cs="Segoe UI Light"/>
          <w:sz w:val="24"/>
          <w:szCs w:val="24"/>
          <w:lang w:val="es-419"/>
        </w:rPr>
        <w:t>.</w:t>
      </w:r>
    </w:p>
    <w:p w14:paraId="70DA9A01" w14:textId="73544ED2" w:rsidR="00092D6C" w:rsidRDefault="00F9058D" w:rsidP="00F9058D">
      <w:pPr>
        <w:ind w:left="0" w:firstLine="0"/>
        <w:rPr>
          <w:rFonts w:ascii="Segoe UI Light" w:hAnsi="Segoe UI Light" w:cs="Segoe UI Light"/>
          <w:sz w:val="24"/>
          <w:szCs w:val="24"/>
          <w:lang w:val="es-419"/>
        </w:rPr>
      </w:pPr>
      <w:r w:rsidRPr="000F0FC8">
        <w:rPr>
          <w:rFonts w:ascii="Segoe UI Light" w:hAnsi="Segoe UI Light" w:cs="Segoe UI Light"/>
          <w:sz w:val="24"/>
          <w:szCs w:val="24"/>
          <w:lang w:val="es-419"/>
        </w:rPr>
        <w:t xml:space="preserve">No obstante lo dispuesto en la Sección 9.22 del Acuerdo de Asesor de Confianza de Fenix Alliance, si se encuentra en Brasil, Francia, Reino Unido, Alemania, Australia, Hong Kong, Austria, Bélgica, Dinamarca, Finlandia, Italia, Países Bajos, Noruega, Portugal, España, Suecia, Suiza o Nueva Zelanda, la entidad contratante de Fenix Alliance con respecto a estos Términos Adicionales para los Programas de </w:t>
      </w:r>
      <w:r w:rsidR="00845CED" w:rsidRPr="000F0FC8">
        <w:rPr>
          <w:rFonts w:ascii="Segoe UI Light" w:hAnsi="Segoe UI Light" w:cs="Segoe UI Light"/>
          <w:sz w:val="24"/>
          <w:szCs w:val="24"/>
          <w:lang w:val="es-419"/>
        </w:rPr>
        <w:t xml:space="preserve">Asesores de Confianza de Fenix Alliance </w:t>
      </w:r>
      <w:r w:rsidRPr="000F0FC8">
        <w:rPr>
          <w:rFonts w:ascii="Segoe UI Light" w:hAnsi="Segoe UI Light" w:cs="Segoe UI Light"/>
          <w:sz w:val="24"/>
          <w:szCs w:val="24"/>
          <w:lang w:val="es-419"/>
        </w:rPr>
        <w:t xml:space="preserve">será la entidad de </w:t>
      </w:r>
      <w:r w:rsidR="001705D5" w:rsidRPr="000F0FC8">
        <w:rPr>
          <w:rFonts w:ascii="Segoe UI Light" w:hAnsi="Segoe UI Light" w:cs="Segoe UI Light"/>
          <w:sz w:val="24"/>
          <w:szCs w:val="24"/>
          <w:lang w:val="es-419"/>
        </w:rPr>
        <w:t xml:space="preserve">Fenix Alliance </w:t>
      </w:r>
      <w:r w:rsidRPr="000F0FC8">
        <w:rPr>
          <w:rFonts w:ascii="Segoe UI Light" w:hAnsi="Segoe UI Light" w:cs="Segoe UI Light"/>
          <w:sz w:val="24"/>
          <w:szCs w:val="24"/>
          <w:lang w:val="es-419"/>
        </w:rPr>
        <w:t>que se expone en la siguiente tabla de la cual recibirá el incentivo de pago aplicable.</w:t>
      </w:r>
    </w:p>
    <w:p w14:paraId="0460BC10" w14:textId="0E1B6956" w:rsidR="00796069" w:rsidRDefault="00796069" w:rsidP="00F9058D">
      <w:pPr>
        <w:ind w:left="0" w:firstLine="0"/>
        <w:rPr>
          <w:rFonts w:ascii="Segoe UI Light" w:hAnsi="Segoe UI Light" w:cs="Segoe UI Light"/>
          <w:sz w:val="24"/>
          <w:szCs w:val="24"/>
          <w:lang w:val="es-419"/>
        </w:rPr>
      </w:pPr>
    </w:p>
    <w:p w14:paraId="4CA4D292" w14:textId="79162AB8" w:rsidR="00796069" w:rsidRPr="000F0FC8" w:rsidRDefault="00796069" w:rsidP="00F9058D">
      <w:pPr>
        <w:ind w:left="0" w:firstLine="0"/>
        <w:rPr>
          <w:rFonts w:ascii="Segoe UI Light" w:hAnsi="Segoe UI Light" w:cs="Segoe UI Light"/>
          <w:sz w:val="24"/>
          <w:szCs w:val="24"/>
        </w:rPr>
      </w:pPr>
      <w:r w:rsidRPr="00796069">
        <w:rPr>
          <w:rFonts w:ascii="Segoe UI Light" w:hAnsi="Segoe UI Light" w:cs="Segoe UI Light"/>
          <w:sz w:val="24"/>
          <w:szCs w:val="24"/>
          <w:highlight w:val="yellow"/>
          <w:lang w:val="es-419"/>
        </w:rPr>
        <w:t>[Table]</w:t>
      </w:r>
    </w:p>
    <w:sectPr w:rsidR="00796069" w:rsidRPr="000F0FC8" w:rsidSect="00F9058D">
      <w:headerReference w:type="default" r:id="rId10"/>
      <w:footerReference w:type="even" r:id="rId11"/>
      <w:footerReference w:type="default" r:id="rId12"/>
      <w:footerReference w:type="first" r:id="rId13"/>
      <w:pgSz w:w="12240" w:h="15840"/>
      <w:pgMar w:top="1411" w:right="1699" w:bottom="1411" w:left="1699" w:header="720" w:footer="14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5DEDF" w14:textId="77777777" w:rsidR="005245F4" w:rsidRDefault="005245F4">
      <w:pPr>
        <w:spacing w:after="0" w:line="240" w:lineRule="auto"/>
      </w:pPr>
      <w:r>
        <w:separator/>
      </w:r>
    </w:p>
  </w:endnote>
  <w:endnote w:type="continuationSeparator" w:id="0">
    <w:p w14:paraId="5535FC4E" w14:textId="77777777" w:rsidR="005245F4" w:rsidRDefault="00524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ECFBB" w14:textId="77777777" w:rsidR="00571840" w:rsidRDefault="00D86B68">
    <w:pPr>
      <w:tabs>
        <w:tab w:val="center" w:pos="2669"/>
        <w:tab w:val="center" w:pos="5147"/>
        <w:tab w:val="right" w:pos="9364"/>
      </w:tabs>
      <w:spacing w:after="0"/>
      <w:ind w:left="0" w:firstLine="0"/>
      <w:jc w:val="left"/>
    </w:pPr>
    <w:r w:rsidRPr="00594E00">
      <w:rPr>
        <w:color w:val="7F7F7F"/>
        <w:sz w:val="16"/>
        <w:lang w:val="es"/>
      </w:rPr>
      <w:t>Acuerdo de red de socios de Asesor de confianza de La Alianza</w:t>
    </w:r>
    <w:r>
      <w:rPr>
        <w:color w:val="7F7F7F"/>
        <w:sz w:val="16"/>
        <w:lang w:val="es"/>
      </w:rPr>
      <w:t xml:space="preserve"> </w:t>
    </w:r>
    <w:r>
      <w:rPr>
        <w:color w:val="7F7F7F"/>
        <w:sz w:val="16"/>
        <w:lang w:val="es"/>
      </w:rPr>
      <w:tab/>
      <w:t xml:space="preserve"> </w:t>
    </w:r>
    <w:r>
      <w:rPr>
        <w:color w:val="7F7F7F"/>
        <w:sz w:val="16"/>
        <w:lang w:val="es"/>
      </w:rPr>
      <w:tab/>
      <w:t xml:space="preserve">Página </w:t>
    </w:r>
    <w:r>
      <w:rPr>
        <w:lang w:val="es"/>
      </w:rPr>
      <w:fldChar w:fldCharType="begin"/>
    </w:r>
    <w:r>
      <w:rPr>
        <w:lang w:val="es"/>
      </w:rPr>
      <w:instrText xml:space="preserve"> PAGE   \* MERGEFORMAT </w:instrText>
    </w:r>
    <w:r>
      <w:rPr>
        <w:lang w:val="es"/>
      </w:rPr>
      <w:fldChar w:fldCharType="separate"/>
    </w:r>
    <w:r>
      <w:rPr>
        <w:color w:val="7F7F7F"/>
        <w:sz w:val="16"/>
        <w:lang w:val="es"/>
      </w:rPr>
      <w:t>1</w:t>
    </w:r>
    <w:r>
      <w:rPr>
        <w:color w:val="7F7F7F"/>
        <w:sz w:val="16"/>
        <w:lang w:val="es"/>
      </w:rPr>
      <w:fldChar w:fldCharType="end"/>
    </w:r>
    <w:r>
      <w:rPr>
        <w:color w:val="7F7F7F"/>
        <w:sz w:val="16"/>
        <w:lang w:val="es"/>
      </w:rPr>
      <w:t xml:space="preserve"> de 4 </w:t>
    </w:r>
  </w:p>
  <w:p w14:paraId="7A840F79" w14:textId="77777777" w:rsidR="00571840" w:rsidRDefault="00D86B68">
    <w:pPr>
      <w:spacing w:after="0"/>
      <w:ind w:left="108" w:firstLine="0"/>
      <w:jc w:val="left"/>
    </w:pPr>
    <w:r>
      <w:rPr>
        <w:color w:val="7F7F7F"/>
        <w:lang w:val="es"/>
      </w:rPr>
      <w:t xml:space="preserve"> </w:t>
    </w:r>
    <w:r>
      <w:rPr>
        <w:color w:val="7F7F7F"/>
        <w:sz w:val="16"/>
        <w:lang w:val="es"/>
      </w:rPr>
      <w:t xml:space="preserve"> </w:t>
    </w:r>
  </w:p>
  <w:p w14:paraId="37528D4B" w14:textId="77777777" w:rsidR="00571840" w:rsidRDefault="00D86B68">
    <w:pPr>
      <w:spacing w:after="0"/>
      <w:ind w:left="0" w:firstLine="0"/>
      <w:jc w:val="left"/>
    </w:pPr>
    <w:r>
      <w:rPr>
        <w:lang w:val="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6404A" w14:textId="739E5AFE" w:rsidR="00571840" w:rsidRDefault="00D86B68">
    <w:pPr>
      <w:tabs>
        <w:tab w:val="center" w:pos="2669"/>
        <w:tab w:val="center" w:pos="5147"/>
        <w:tab w:val="right" w:pos="9364"/>
      </w:tabs>
      <w:spacing w:after="0"/>
      <w:ind w:left="0" w:firstLine="0"/>
      <w:jc w:val="left"/>
    </w:pPr>
    <w:r w:rsidRPr="00594E00">
      <w:rPr>
        <w:color w:val="7F7F7F"/>
        <w:sz w:val="16"/>
        <w:lang w:val="es"/>
      </w:rPr>
      <w:t xml:space="preserve">Acuerdo de </w:t>
    </w:r>
    <w:r w:rsidR="00F9058D">
      <w:rPr>
        <w:color w:val="7F7F7F"/>
        <w:sz w:val="16"/>
        <w:lang w:val="es"/>
      </w:rPr>
      <w:t>R</w:t>
    </w:r>
    <w:r w:rsidRPr="00594E00">
      <w:rPr>
        <w:color w:val="7F7F7F"/>
        <w:sz w:val="16"/>
        <w:lang w:val="es"/>
      </w:rPr>
      <w:t>ed de Asesor</w:t>
    </w:r>
    <w:r w:rsidR="00F9058D">
      <w:rPr>
        <w:color w:val="7F7F7F"/>
        <w:sz w:val="16"/>
        <w:lang w:val="es"/>
      </w:rPr>
      <w:t>es</w:t>
    </w:r>
    <w:r w:rsidRPr="00594E00">
      <w:rPr>
        <w:color w:val="7F7F7F"/>
        <w:sz w:val="16"/>
        <w:lang w:val="es"/>
      </w:rPr>
      <w:t xml:space="preserve"> de </w:t>
    </w:r>
    <w:r w:rsidR="00F9058D">
      <w:rPr>
        <w:color w:val="7F7F7F"/>
        <w:sz w:val="16"/>
        <w:lang w:val="es"/>
      </w:rPr>
      <w:t>C</w:t>
    </w:r>
    <w:r w:rsidRPr="00594E00">
      <w:rPr>
        <w:color w:val="7F7F7F"/>
        <w:sz w:val="16"/>
        <w:lang w:val="es"/>
      </w:rPr>
      <w:t xml:space="preserve">onfianza de </w:t>
    </w:r>
    <w:r w:rsidR="00F9058D">
      <w:rPr>
        <w:color w:val="7F7F7F"/>
        <w:sz w:val="16"/>
        <w:lang w:val="es"/>
      </w:rPr>
      <w:t>Fenix Alliance</w:t>
    </w:r>
    <w:r>
      <w:rPr>
        <w:color w:val="7F7F7F"/>
        <w:sz w:val="16"/>
        <w:lang w:val="es"/>
      </w:rPr>
      <w:t xml:space="preserve"> </w:t>
    </w:r>
    <w:r>
      <w:rPr>
        <w:color w:val="7F7F7F"/>
        <w:sz w:val="16"/>
        <w:lang w:val="es"/>
      </w:rPr>
      <w:tab/>
    </w:r>
    <w:r w:rsidR="00F9058D">
      <w:rPr>
        <w:color w:val="7F7F7F"/>
        <w:sz w:val="16"/>
        <w:lang w:val="es"/>
      </w:rPr>
      <w:tab/>
    </w:r>
    <w:r>
      <w:rPr>
        <w:color w:val="7F7F7F"/>
        <w:sz w:val="16"/>
        <w:lang w:val="es"/>
      </w:rPr>
      <w:t xml:space="preserve">Página </w:t>
    </w:r>
    <w:r>
      <w:rPr>
        <w:lang w:val="es"/>
      </w:rPr>
      <w:fldChar w:fldCharType="begin"/>
    </w:r>
    <w:r>
      <w:rPr>
        <w:lang w:val="es"/>
      </w:rPr>
      <w:instrText xml:space="preserve"> PAGE   \* MERGEFORMAT </w:instrText>
    </w:r>
    <w:r>
      <w:rPr>
        <w:lang w:val="es"/>
      </w:rPr>
      <w:fldChar w:fldCharType="separate"/>
    </w:r>
    <w:r>
      <w:rPr>
        <w:color w:val="7F7F7F"/>
        <w:sz w:val="16"/>
        <w:lang w:val="es"/>
      </w:rPr>
      <w:t>1</w:t>
    </w:r>
    <w:r>
      <w:rPr>
        <w:color w:val="7F7F7F"/>
        <w:sz w:val="16"/>
        <w:lang w:val="es"/>
      </w:rPr>
      <w:fldChar w:fldCharType="end"/>
    </w:r>
    <w:r>
      <w:rPr>
        <w:color w:val="7F7F7F"/>
        <w:sz w:val="16"/>
        <w:lang w:val="es"/>
      </w:rPr>
      <w:t xml:space="preserve"> de 4 </w:t>
    </w:r>
  </w:p>
  <w:p w14:paraId="4E5D1C0B" w14:textId="77777777" w:rsidR="00571840" w:rsidRDefault="00D86B68">
    <w:pPr>
      <w:spacing w:after="0"/>
      <w:ind w:left="108" w:firstLine="0"/>
      <w:jc w:val="left"/>
    </w:pPr>
    <w:r>
      <w:rPr>
        <w:color w:val="7F7F7F"/>
        <w:lang w:val="es"/>
      </w:rPr>
      <w:t xml:space="preserve"> </w:t>
    </w:r>
    <w:r>
      <w:rPr>
        <w:color w:val="7F7F7F"/>
        <w:sz w:val="16"/>
        <w:lang w:val="es"/>
      </w:rPr>
      <w:t xml:space="preserve"> </w:t>
    </w:r>
  </w:p>
  <w:p w14:paraId="65099E92" w14:textId="77777777" w:rsidR="00571840" w:rsidRDefault="00D86B68">
    <w:pPr>
      <w:spacing w:after="0"/>
      <w:ind w:left="0" w:firstLine="0"/>
      <w:jc w:val="left"/>
    </w:pPr>
    <w:r>
      <w:rPr>
        <w:lang w:val="e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3F3F" w14:textId="77777777" w:rsidR="00571840" w:rsidRDefault="00D86B68">
    <w:pPr>
      <w:tabs>
        <w:tab w:val="center" w:pos="2669"/>
        <w:tab w:val="center" w:pos="5147"/>
        <w:tab w:val="right" w:pos="9364"/>
      </w:tabs>
      <w:spacing w:after="0"/>
      <w:ind w:left="0" w:firstLine="0"/>
      <w:jc w:val="left"/>
    </w:pPr>
    <w:r>
      <w:rPr>
        <w:sz w:val="22"/>
        <w:lang w:val="es"/>
      </w:rPr>
      <w:tab/>
    </w:r>
    <w:r>
      <w:rPr>
        <w:color w:val="7F7F7F"/>
        <w:sz w:val="16"/>
        <w:lang w:val="es"/>
      </w:rPr>
      <w:t xml:space="preserve"> </w:t>
    </w:r>
    <w:r>
      <w:rPr>
        <w:color w:val="7F7F7F"/>
        <w:sz w:val="16"/>
        <w:lang w:val="es"/>
      </w:rPr>
      <w:tab/>
      <w:t xml:space="preserve"> </w:t>
    </w:r>
    <w:r>
      <w:rPr>
        <w:color w:val="7F7F7F"/>
        <w:sz w:val="16"/>
        <w:lang w:val="es"/>
      </w:rPr>
      <w:tab/>
      <w:t xml:space="preserve">Página </w:t>
    </w:r>
    <w:r>
      <w:rPr>
        <w:lang w:val="es"/>
      </w:rPr>
      <w:fldChar w:fldCharType="begin"/>
    </w:r>
    <w:r>
      <w:rPr>
        <w:lang w:val="es"/>
      </w:rPr>
      <w:instrText xml:space="preserve"> PAGE   \* MERGEFORMAT </w:instrText>
    </w:r>
    <w:r>
      <w:rPr>
        <w:lang w:val="es"/>
      </w:rPr>
      <w:fldChar w:fldCharType="separate"/>
    </w:r>
    <w:r>
      <w:rPr>
        <w:color w:val="7F7F7F"/>
        <w:sz w:val="16"/>
        <w:lang w:val="es"/>
      </w:rPr>
      <w:t>1</w:t>
    </w:r>
    <w:r>
      <w:rPr>
        <w:color w:val="7F7F7F"/>
        <w:sz w:val="16"/>
        <w:lang w:val="es"/>
      </w:rPr>
      <w:fldChar w:fldCharType="end"/>
    </w:r>
    <w:r>
      <w:rPr>
        <w:color w:val="7F7F7F"/>
        <w:sz w:val="16"/>
        <w:lang w:val="es"/>
      </w:rPr>
      <w:t xml:space="preserve"> de 4 </w:t>
    </w:r>
  </w:p>
  <w:p w14:paraId="3F3B52E4" w14:textId="77777777" w:rsidR="00571840" w:rsidRDefault="00D86B68">
    <w:pPr>
      <w:spacing w:after="0"/>
      <w:ind w:left="108" w:firstLine="0"/>
      <w:jc w:val="left"/>
    </w:pPr>
    <w:r>
      <w:rPr>
        <w:color w:val="7F7F7F"/>
        <w:lang w:val="es"/>
      </w:rPr>
      <w:t xml:space="preserve"> </w:t>
    </w:r>
    <w:r>
      <w:rPr>
        <w:color w:val="7F7F7F"/>
        <w:sz w:val="16"/>
        <w:lang w:val="es"/>
      </w:rPr>
      <w:t xml:space="preserve"> </w:t>
    </w:r>
  </w:p>
  <w:p w14:paraId="61E7CA2B" w14:textId="77777777" w:rsidR="00571840" w:rsidRDefault="00D86B68">
    <w:pPr>
      <w:spacing w:after="0"/>
      <w:ind w:left="0" w:firstLine="0"/>
      <w:jc w:val="left"/>
    </w:pPr>
    <w:r>
      <w:rPr>
        <w:lang w:val="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4225E" w14:textId="77777777" w:rsidR="005245F4" w:rsidRDefault="005245F4">
      <w:pPr>
        <w:spacing w:after="0" w:line="240" w:lineRule="auto"/>
      </w:pPr>
      <w:r>
        <w:separator/>
      </w:r>
    </w:p>
  </w:footnote>
  <w:footnote w:type="continuationSeparator" w:id="0">
    <w:p w14:paraId="740BBBFB" w14:textId="77777777" w:rsidR="005245F4" w:rsidRDefault="00524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476F0" w14:textId="19373DF8" w:rsidR="004D7C8D" w:rsidRDefault="004D7C8D" w:rsidP="00EB18A2">
    <w:pPr>
      <w:pStyle w:val="Header"/>
      <w:jc w:val="right"/>
    </w:pPr>
    <w:r>
      <w:rPr>
        <w:noProof/>
      </w:rPr>
      <w:drawing>
        <wp:inline distT="0" distB="0" distL="0" distR="0" wp14:anchorId="77510332" wp14:editId="79F49207">
          <wp:extent cx="1340168"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E151D"/>
    <w:multiLevelType w:val="hybridMultilevel"/>
    <w:tmpl w:val="43B012A2"/>
    <w:lvl w:ilvl="0" w:tplc="0FB4C33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8C49F8E">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9C2EC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2EF89C">
      <w:start w:val="1"/>
      <w:numFmt w:val="bullet"/>
      <w:lvlText w:val="•"/>
      <w:lvlJc w:val="left"/>
      <w:pPr>
        <w:ind w:left="2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6C32A0">
      <w:start w:val="1"/>
      <w:numFmt w:val="bullet"/>
      <w:lvlText w:val="o"/>
      <w:lvlJc w:val="left"/>
      <w:pPr>
        <w:ind w:left="3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F23866">
      <w:start w:val="1"/>
      <w:numFmt w:val="bullet"/>
      <w:lvlText w:val="▪"/>
      <w:lvlJc w:val="left"/>
      <w:pPr>
        <w:ind w:left="3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4AD284">
      <w:start w:val="1"/>
      <w:numFmt w:val="bullet"/>
      <w:lvlText w:val="•"/>
      <w:lvlJc w:val="left"/>
      <w:pPr>
        <w:ind w:left="4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DC2FA2">
      <w:start w:val="1"/>
      <w:numFmt w:val="bullet"/>
      <w:lvlText w:val="o"/>
      <w:lvlJc w:val="left"/>
      <w:pPr>
        <w:ind w:left="5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DE59F6">
      <w:start w:val="1"/>
      <w:numFmt w:val="bullet"/>
      <w:lvlText w:val="▪"/>
      <w:lvlJc w:val="left"/>
      <w:pPr>
        <w:ind w:left="6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77F7A83"/>
    <w:multiLevelType w:val="hybridMultilevel"/>
    <w:tmpl w:val="8064DF82"/>
    <w:lvl w:ilvl="0" w:tplc="00D419BA">
      <w:start w:val="1"/>
      <w:numFmt w:val="decimal"/>
      <w:lvlText w:val="%1."/>
      <w:lvlJc w:val="left"/>
      <w:pPr>
        <w:ind w:left="36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1" w:tplc="32A0A5BA">
      <w:start w:val="1"/>
      <w:numFmt w:val="lowerLetter"/>
      <w:lvlText w:val="%2"/>
      <w:lvlJc w:val="left"/>
      <w:pPr>
        <w:ind w:left="108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2" w:tplc="7B5CFDA8">
      <w:start w:val="1"/>
      <w:numFmt w:val="lowerRoman"/>
      <w:lvlText w:val="%3"/>
      <w:lvlJc w:val="left"/>
      <w:pPr>
        <w:ind w:left="180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3" w:tplc="D68443B4">
      <w:start w:val="1"/>
      <w:numFmt w:val="decimal"/>
      <w:lvlText w:val="%4"/>
      <w:lvlJc w:val="left"/>
      <w:pPr>
        <w:ind w:left="252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4" w:tplc="D3B669BE">
      <w:start w:val="1"/>
      <w:numFmt w:val="lowerLetter"/>
      <w:lvlText w:val="%5"/>
      <w:lvlJc w:val="left"/>
      <w:pPr>
        <w:ind w:left="324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5" w:tplc="36FCBA7E">
      <w:start w:val="1"/>
      <w:numFmt w:val="lowerRoman"/>
      <w:lvlText w:val="%6"/>
      <w:lvlJc w:val="left"/>
      <w:pPr>
        <w:ind w:left="396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6" w:tplc="E9DE9B32">
      <w:start w:val="1"/>
      <w:numFmt w:val="decimal"/>
      <w:lvlText w:val="%7"/>
      <w:lvlJc w:val="left"/>
      <w:pPr>
        <w:ind w:left="468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7" w:tplc="399803F8">
      <w:start w:val="1"/>
      <w:numFmt w:val="lowerLetter"/>
      <w:lvlText w:val="%8"/>
      <w:lvlJc w:val="left"/>
      <w:pPr>
        <w:ind w:left="540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lvl w:ilvl="8" w:tplc="86E48296">
      <w:start w:val="1"/>
      <w:numFmt w:val="lowerRoman"/>
      <w:lvlText w:val="%9"/>
      <w:lvlJc w:val="left"/>
      <w:pPr>
        <w:ind w:left="6120" w:firstLine="0"/>
      </w:pPr>
      <w:rPr>
        <w:rFonts w:ascii="Segoe UI" w:eastAsia="Segoe UI" w:hAnsi="Segoe UI" w:cs="Segoe UI"/>
        <w:b/>
        <w:bCs/>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618D17A8"/>
    <w:multiLevelType w:val="hybridMultilevel"/>
    <w:tmpl w:val="6A8ABCC2"/>
    <w:lvl w:ilvl="0" w:tplc="15A22C44">
      <w:start w:val="1"/>
      <w:numFmt w:val="lowerLetter"/>
      <w:lvlText w:val="%1."/>
      <w:lvlJc w:val="left"/>
      <w:pPr>
        <w:ind w:left="70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EDAD528">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93C259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F6E8CE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08269AE">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A262C5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186E502">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D68D248">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5BE851E">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3E336C"/>
    <w:multiLevelType w:val="hybridMultilevel"/>
    <w:tmpl w:val="F5C8BD7C"/>
    <w:lvl w:ilvl="0" w:tplc="BED4465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BE638C6">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A062758">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D6C27F4A">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BE2ADDBE">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4F280A24">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637617D6">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B718B1C6">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AB44D08E">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83"/>
    <w:rsid w:val="00092D6C"/>
    <w:rsid w:val="000C6141"/>
    <w:rsid w:val="000F0FC8"/>
    <w:rsid w:val="001705D5"/>
    <w:rsid w:val="001E1889"/>
    <w:rsid w:val="00322FCE"/>
    <w:rsid w:val="00482AD0"/>
    <w:rsid w:val="004D7C8D"/>
    <w:rsid w:val="005245F4"/>
    <w:rsid w:val="00524683"/>
    <w:rsid w:val="006B6C48"/>
    <w:rsid w:val="007233CF"/>
    <w:rsid w:val="00736982"/>
    <w:rsid w:val="007620F2"/>
    <w:rsid w:val="00795983"/>
    <w:rsid w:val="00796069"/>
    <w:rsid w:val="00845CED"/>
    <w:rsid w:val="00911C99"/>
    <w:rsid w:val="00947E59"/>
    <w:rsid w:val="00AC6976"/>
    <w:rsid w:val="00C015BC"/>
    <w:rsid w:val="00D032C8"/>
    <w:rsid w:val="00D86B68"/>
    <w:rsid w:val="00EB18A2"/>
    <w:rsid w:val="00F9058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6143"/>
  <w15:chartTrackingRefBased/>
  <w15:docId w15:val="{43727745-828E-4916-AD27-A2440C6D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color w:val="000000"/>
        <w:szCs w:val="22"/>
        <w:lang w:val="en-US" w:eastAsia="en-US" w:bidi="ar-SA"/>
      </w:rPr>
    </w:rPrDefault>
    <w:pPrDefault>
      <w:pPr>
        <w:spacing w:after="197" w:line="259" w:lineRule="auto"/>
        <w:ind w:left="374" w:hanging="37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B68"/>
  </w:style>
  <w:style w:type="paragraph" w:styleId="Heading1">
    <w:name w:val="heading 1"/>
    <w:next w:val="Normal"/>
    <w:link w:val="Heading1Char"/>
    <w:uiPriority w:val="9"/>
    <w:qFormat/>
    <w:rsid w:val="00D86B68"/>
    <w:pPr>
      <w:keepNext/>
      <w:keepLines/>
      <w:spacing w:after="29"/>
      <w:ind w:left="10" w:hanging="10"/>
      <w:outlineLvl w:val="0"/>
    </w:pPr>
    <w:rPr>
      <w:rFonts w:eastAsia="Segoe UI"/>
      <w:sz w:val="32"/>
    </w:rPr>
  </w:style>
  <w:style w:type="paragraph" w:styleId="Heading2">
    <w:name w:val="heading 2"/>
    <w:next w:val="Normal"/>
    <w:link w:val="Heading2Char"/>
    <w:uiPriority w:val="9"/>
    <w:unhideWhenUsed/>
    <w:qFormat/>
    <w:rsid w:val="00D86B68"/>
    <w:pPr>
      <w:keepNext/>
      <w:keepLines/>
      <w:spacing w:after="212"/>
      <w:ind w:left="24" w:hanging="10"/>
      <w:outlineLvl w:val="1"/>
    </w:pPr>
    <w:rPr>
      <w:rFonts w:eastAsia="Segoe U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68"/>
    <w:rPr>
      <w:rFonts w:ascii="Segoe UI" w:eastAsia="Segoe UI" w:hAnsi="Segoe UI" w:cs="Segoe UI"/>
      <w:color w:val="000000"/>
      <w:sz w:val="32"/>
    </w:rPr>
  </w:style>
  <w:style w:type="character" w:customStyle="1" w:styleId="Heading2Char">
    <w:name w:val="Heading 2 Char"/>
    <w:basedOn w:val="DefaultParagraphFont"/>
    <w:link w:val="Heading2"/>
    <w:uiPriority w:val="9"/>
    <w:rsid w:val="00D86B68"/>
    <w:rPr>
      <w:rFonts w:ascii="Segoe UI" w:eastAsia="Segoe UI" w:hAnsi="Segoe UI" w:cs="Segoe UI"/>
      <w:b/>
      <w:color w:val="000000"/>
      <w:sz w:val="20"/>
    </w:rPr>
  </w:style>
  <w:style w:type="paragraph" w:styleId="Header">
    <w:name w:val="header"/>
    <w:basedOn w:val="Normal"/>
    <w:link w:val="HeaderChar"/>
    <w:uiPriority w:val="99"/>
    <w:unhideWhenUsed/>
    <w:rsid w:val="004D7C8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7C8D"/>
    <w:rPr>
      <w:rFonts w:ascii="Segoe UI" w:eastAsia="Segoe UI" w:hAnsi="Segoe UI" w:cs="Segoe UI"/>
      <w:color w:val="000000"/>
      <w:sz w:val="20"/>
    </w:rPr>
  </w:style>
  <w:style w:type="table" w:customStyle="1" w:styleId="TableGrid">
    <w:name w:val="TableGrid"/>
    <w:rsid w:val="00F9058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6288">
      <w:bodyDiv w:val="1"/>
      <w:marLeft w:val="0"/>
      <w:marRight w:val="0"/>
      <w:marTop w:val="0"/>
      <w:marBottom w:val="0"/>
      <w:divBdr>
        <w:top w:val="none" w:sz="0" w:space="0" w:color="auto"/>
        <w:left w:val="none" w:sz="0" w:space="0" w:color="auto"/>
        <w:bottom w:val="none" w:sz="0" w:space="0" w:color="auto"/>
        <w:right w:val="none" w:sz="0" w:space="0" w:color="auto"/>
      </w:divBdr>
    </w:div>
    <w:div w:id="917833562">
      <w:bodyDiv w:val="1"/>
      <w:marLeft w:val="0"/>
      <w:marRight w:val="0"/>
      <w:marTop w:val="0"/>
      <w:marBottom w:val="0"/>
      <w:divBdr>
        <w:top w:val="none" w:sz="0" w:space="0" w:color="auto"/>
        <w:left w:val="none" w:sz="0" w:space="0" w:color="auto"/>
        <w:bottom w:val="none" w:sz="0" w:space="0" w:color="auto"/>
        <w:right w:val="none" w:sz="0" w:space="0" w:color="auto"/>
      </w:divBdr>
    </w:div>
    <w:div w:id="1234393081">
      <w:bodyDiv w:val="1"/>
      <w:marLeft w:val="0"/>
      <w:marRight w:val="0"/>
      <w:marTop w:val="0"/>
      <w:marBottom w:val="0"/>
      <w:divBdr>
        <w:top w:val="none" w:sz="0" w:space="0" w:color="auto"/>
        <w:left w:val="none" w:sz="0" w:space="0" w:color="auto"/>
        <w:bottom w:val="none" w:sz="0" w:space="0" w:color="auto"/>
        <w:right w:val="none" w:sz="0" w:space="0" w:color="auto"/>
      </w:divBdr>
    </w:div>
    <w:div w:id="1361514109">
      <w:bodyDiv w:val="1"/>
      <w:marLeft w:val="0"/>
      <w:marRight w:val="0"/>
      <w:marTop w:val="0"/>
      <w:marBottom w:val="0"/>
      <w:divBdr>
        <w:top w:val="none" w:sz="0" w:space="0" w:color="auto"/>
        <w:left w:val="none" w:sz="0" w:space="0" w:color="auto"/>
        <w:bottom w:val="none" w:sz="0" w:space="0" w:color="auto"/>
        <w:right w:val="none" w:sz="0" w:space="0" w:color="auto"/>
      </w:divBdr>
    </w:div>
    <w:div w:id="144966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657BF4-C594-4034-883B-B8AAE673B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BB5F9D-2278-4E4F-A59F-B7BF244986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2D2667-F5F0-4EA6-8C8D-AB98578461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485</Words>
  <Characters>2607</Characters>
  <Application>Microsoft Office Word</Application>
  <DocSecurity>0</DocSecurity>
  <Lines>42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17</cp:revision>
  <dcterms:created xsi:type="dcterms:W3CDTF">2020-09-20T02:35:00Z</dcterms:created>
  <dcterms:modified xsi:type="dcterms:W3CDTF">2020-09-21T14:32:00Z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