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31DE9" w14:textId="77777777" w:rsidR="005304D1" w:rsidRPr="003F73C0" w:rsidRDefault="005304D1" w:rsidP="00971A02">
      <w:pPr>
        <w:pStyle w:val="Heading1"/>
      </w:pPr>
      <w:r w:rsidRPr="003F73C0">
        <w:rPr>
          <w:lang w:val="es"/>
        </w:rPr>
        <w:t xml:space="preserve">Disposiciones específicas por país  </w:t>
      </w:r>
    </w:p>
    <w:p w14:paraId="50E96F82" w14:textId="77777777" w:rsidR="006C2122" w:rsidRDefault="006C2122" w:rsidP="005304D1">
      <w:pPr>
        <w:rPr>
          <w:rFonts w:ascii="Segoe UI Light" w:hAnsi="Segoe UI Light" w:cs="Segoe UI Light"/>
          <w:sz w:val="24"/>
          <w:szCs w:val="24"/>
          <w:lang w:val="es"/>
        </w:rPr>
      </w:pPr>
    </w:p>
    <w:p w14:paraId="256970EB" w14:textId="45545FBB" w:rsidR="005304D1" w:rsidRPr="003F73C0" w:rsidRDefault="005304D1" w:rsidP="005304D1">
      <w:pPr>
        <w:rPr>
          <w:rFonts w:ascii="Segoe UI Light" w:hAnsi="Segoe UI Light" w:cs="Segoe UI Light"/>
          <w:sz w:val="24"/>
          <w:szCs w:val="24"/>
          <w:lang w:val="es"/>
        </w:rPr>
      </w:pPr>
      <w:bookmarkStart w:id="0" w:name="_GoBack"/>
      <w:bookmarkEnd w:id="0"/>
      <w:r w:rsidRPr="003F73C0">
        <w:rPr>
          <w:rFonts w:ascii="Segoe UI Light" w:hAnsi="Segoe UI Light" w:cs="Segoe UI Light"/>
          <w:sz w:val="24"/>
          <w:szCs w:val="24"/>
          <w:lang w:val="es"/>
        </w:rPr>
        <w:t xml:space="preserve">Las disposiciones específicas por país que figuran a continuación reemplazarán o complementarán las disposiciones equivalentes en el Acuerdo como se ha señalado. En caso de conflicto entre estas disposiciones específicas de cada país y el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 xml:space="preserve">, estas disposiciones específicas por país regirán. No obstante lo anterior, los </w:t>
      </w:r>
      <w:r w:rsidRPr="007A458B">
        <w:rPr>
          <w:rFonts w:ascii="Segoe UI Light" w:hAnsi="Segoe UI Light" w:cs="Segoe UI Light"/>
          <w:b/>
          <w:bCs/>
          <w:color w:val="auto"/>
          <w:sz w:val="24"/>
          <w:szCs w:val="24"/>
          <w:lang w:val="es"/>
        </w:rPr>
        <w:t xml:space="preserve">Términos </w:t>
      </w:r>
      <w:hyperlink r:id="rId11"/>
      <w:r w:rsidRPr="007A458B">
        <w:rPr>
          <w:rFonts w:ascii="Segoe UI Light" w:hAnsi="Segoe UI Light" w:cs="Segoe UI Light"/>
          <w:b/>
          <w:bCs/>
          <w:color w:val="auto"/>
          <w:sz w:val="24"/>
          <w:szCs w:val="24"/>
          <w:lang w:val="es"/>
        </w:rPr>
        <w:t>Alternativos</w:t>
      </w:r>
      <w:r w:rsidRPr="007A458B">
        <w:rPr>
          <w:rFonts w:ascii="Segoe UI Light" w:hAnsi="Segoe UI Light" w:cs="Segoe UI Light"/>
          <w:color w:val="auto"/>
          <w:sz w:val="24"/>
          <w:szCs w:val="24"/>
          <w:lang w:val="es"/>
        </w:rPr>
        <w:t xml:space="preserve"> </w:t>
      </w:r>
      <w:r w:rsidRPr="007A458B">
        <w:rPr>
          <w:rFonts w:ascii="Segoe UI Light" w:hAnsi="Segoe UI Light" w:cs="Segoe UI Light"/>
          <w:b/>
          <w:bCs/>
          <w:sz w:val="24"/>
          <w:szCs w:val="24"/>
          <w:lang w:val="es"/>
        </w:rPr>
        <w:t>de Incentivos</w:t>
      </w:r>
      <w:r w:rsidR="007A458B">
        <w:rPr>
          <w:rFonts w:ascii="Segoe UI Light" w:hAnsi="Segoe UI Light" w:cs="Segoe UI Light"/>
          <w:b/>
          <w:bCs/>
          <w:sz w:val="24"/>
          <w:szCs w:val="24"/>
          <w:lang w:val="es"/>
        </w:rPr>
        <w:t xml:space="preserve"> Monetarios</w:t>
      </w:r>
      <w:hyperlink r:id="rId12"/>
      <w:r w:rsidRPr="003F73C0">
        <w:rPr>
          <w:rFonts w:ascii="Segoe UI Light" w:hAnsi="Segoe UI Light" w:cs="Segoe UI Light"/>
          <w:sz w:val="24"/>
          <w:szCs w:val="24"/>
          <w:lang w:val="es"/>
        </w:rPr>
        <w:t xml:space="preserve"> pueden establecer términos y condiciones separados para los pagos de incentivos bajo un Programa u Oferta d</w:t>
      </w:r>
      <w:r w:rsidR="00566048">
        <w:rPr>
          <w:rFonts w:ascii="Segoe UI Light" w:hAnsi="Segoe UI Light" w:cs="Segoe UI Light"/>
          <w:sz w:val="24"/>
          <w:szCs w:val="24"/>
          <w:lang w:val="es"/>
        </w:rPr>
        <w:t>e</w:t>
      </w:r>
      <w:r w:rsidR="007A458B">
        <w:rPr>
          <w:rFonts w:ascii="Segoe UI Light" w:hAnsi="Segoe UI Light" w:cs="Segoe UI Light"/>
          <w:sz w:val="24"/>
          <w:szCs w:val="24"/>
          <w:lang w:val="es"/>
        </w:rPr>
        <w:t xml:space="preserve">l Programa </w:t>
      </w:r>
      <w:r w:rsidR="00566048">
        <w:rPr>
          <w:rFonts w:ascii="Segoe UI Light" w:hAnsi="Segoe UI Light" w:cs="Segoe UI Light"/>
          <w:sz w:val="24"/>
          <w:szCs w:val="24"/>
          <w:lang w:val="es"/>
        </w:rPr>
        <w:t xml:space="preserve">Fenix </w:t>
      </w:r>
      <w:r w:rsidR="007A458B">
        <w:rPr>
          <w:rFonts w:ascii="Segoe UI Light" w:hAnsi="Segoe UI Light" w:cs="Segoe UI Light"/>
          <w:sz w:val="24"/>
          <w:szCs w:val="24"/>
          <w:lang w:val="es"/>
        </w:rPr>
        <w:t>Alliance Trusted Advisor</w:t>
      </w:r>
      <w:r w:rsidRPr="003F73C0">
        <w:rPr>
          <w:rFonts w:ascii="Segoe UI Light" w:hAnsi="Segoe UI Light" w:cs="Segoe UI Light"/>
          <w:sz w:val="24"/>
          <w:szCs w:val="24"/>
          <w:lang w:val="es"/>
        </w:rPr>
        <w:t>, incluyendo la ley aplicable, jurisdicción y</w:t>
      </w:r>
      <w:r w:rsidR="006A7D3D">
        <w:rPr>
          <w:rFonts w:ascii="Segoe UI Light" w:hAnsi="Segoe UI Light" w:cs="Segoe UI Light"/>
          <w:sz w:val="24"/>
          <w:szCs w:val="24"/>
          <w:lang w:val="es"/>
        </w:rPr>
        <w:t xml:space="preserve"> </w:t>
      </w:r>
      <w:hyperlink r:id="rId13"/>
      <w:r w:rsidRPr="003F73C0">
        <w:rPr>
          <w:rFonts w:ascii="Segoe UI Light" w:hAnsi="Segoe UI Light" w:cs="Segoe UI Light"/>
          <w:sz w:val="24"/>
          <w:szCs w:val="24"/>
          <w:lang w:val="es"/>
        </w:rPr>
        <w:t>entidades contratantes de Fenix Alliance.</w:t>
      </w:r>
    </w:p>
    <w:p w14:paraId="31A02729" w14:textId="1436DCFA" w:rsidR="005304D1" w:rsidRDefault="005304D1" w:rsidP="006A7D3D">
      <w:pPr>
        <w:rPr>
          <w:rFonts w:ascii="Segoe UI Light" w:hAnsi="Segoe UI Light" w:cs="Segoe UI Light"/>
          <w:b/>
          <w:sz w:val="24"/>
          <w:szCs w:val="24"/>
          <w:lang w:val="es"/>
        </w:rPr>
      </w:pPr>
      <w:r w:rsidRPr="003F73C0">
        <w:rPr>
          <w:rFonts w:ascii="Segoe UI Light" w:hAnsi="Segoe UI Light" w:cs="Segoe UI Light"/>
          <w:color w:val="0000FF"/>
          <w:sz w:val="24"/>
          <w:szCs w:val="24"/>
          <w:u w:val="single" w:color="0000FF"/>
          <w:lang w:val="es"/>
        </w:rPr>
        <w:br/>
      </w:r>
      <w:r w:rsidRPr="003F73C0">
        <w:rPr>
          <w:rFonts w:ascii="Segoe UI Light" w:hAnsi="Segoe UI Light" w:cs="Segoe UI Light"/>
          <w:b/>
          <w:sz w:val="24"/>
          <w:szCs w:val="24"/>
          <w:lang w:val="es"/>
        </w:rPr>
        <w:t xml:space="preserve">1. Ley aplicable y jurisdicción </w:t>
      </w:r>
    </w:p>
    <w:p w14:paraId="17C816C0" w14:textId="77777777" w:rsidR="007A458B" w:rsidRPr="003F73C0" w:rsidRDefault="007A458B" w:rsidP="006A7D3D">
      <w:pPr>
        <w:rPr>
          <w:rFonts w:ascii="Segoe UI Light" w:hAnsi="Segoe UI Light" w:cs="Segoe UI Light"/>
          <w:sz w:val="24"/>
          <w:szCs w:val="24"/>
        </w:rPr>
      </w:pPr>
    </w:p>
    <w:p w14:paraId="680B23E3" w14:textId="1A6CD31F" w:rsidR="005304D1" w:rsidRPr="003F73C0" w:rsidRDefault="005304D1" w:rsidP="005304D1">
      <w:pPr>
        <w:numPr>
          <w:ilvl w:val="0"/>
          <w:numId w:val="1"/>
        </w:numPr>
        <w:spacing w:after="235"/>
        <w:ind w:hanging="360"/>
        <w:rPr>
          <w:rFonts w:ascii="Segoe UI Light" w:hAnsi="Segoe UI Light" w:cs="Segoe UI Light"/>
          <w:sz w:val="24"/>
          <w:szCs w:val="24"/>
        </w:rPr>
      </w:pPr>
      <w:r w:rsidRPr="003F73C0">
        <w:rPr>
          <w:rFonts w:ascii="Segoe UI Light" w:hAnsi="Segoe UI Light" w:cs="Segoe UI Light"/>
          <w:sz w:val="24"/>
          <w:szCs w:val="24"/>
          <w:lang w:val="es"/>
        </w:rPr>
        <w:t xml:space="preserve">Salvo disposición en contrario en la Sección 1(b), las leyes del Estado de Delaware rigen el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 xml:space="preserve">. Si existe jurisdicción federal, usted y Fenix Alliance aceptan la jurisdicción y competencia exclusivas en los tribunales federales de Lewes, Delaware. Si la jurisdicción federal no existe, entonces usted y Fenix Alliance consienten la jurisdicción y competencia exclusivas en el </w:t>
      </w:r>
      <w:r w:rsidR="00EC7D81" w:rsidRPr="003F73C0">
        <w:rPr>
          <w:rFonts w:ascii="Segoe UI Light" w:hAnsi="Segoe UI Light" w:cs="Segoe UI Light"/>
          <w:sz w:val="24"/>
          <w:szCs w:val="24"/>
          <w:lang w:val="es"/>
        </w:rPr>
        <w:t>Corte Superior</w:t>
      </w:r>
      <w:r w:rsidRPr="003F73C0">
        <w:rPr>
          <w:rFonts w:ascii="Segoe UI Light" w:hAnsi="Segoe UI Light" w:cs="Segoe UI Light"/>
          <w:sz w:val="24"/>
          <w:szCs w:val="24"/>
          <w:lang w:val="es"/>
        </w:rPr>
        <w:t xml:space="preserve"> de</w:t>
      </w:r>
      <w:r w:rsidR="00EC7D81" w:rsidRPr="003F73C0">
        <w:rPr>
          <w:rFonts w:ascii="Segoe UI Light" w:hAnsi="Segoe UI Light" w:cs="Segoe UI Light"/>
          <w:sz w:val="24"/>
          <w:szCs w:val="24"/>
          <w:lang w:val="es"/>
        </w:rPr>
        <w:t>l</w:t>
      </w:r>
      <w:r w:rsidRPr="003F73C0">
        <w:rPr>
          <w:rFonts w:ascii="Segoe UI Light" w:hAnsi="Segoe UI Light" w:cs="Segoe UI Light"/>
          <w:sz w:val="24"/>
          <w:szCs w:val="24"/>
          <w:lang w:val="es"/>
        </w:rPr>
        <w:t xml:space="preserve"> </w:t>
      </w:r>
      <w:r w:rsidR="00EC7D81" w:rsidRPr="003F73C0">
        <w:rPr>
          <w:rFonts w:ascii="Segoe UI Light" w:hAnsi="Segoe UI Light" w:cs="Segoe UI Light"/>
          <w:sz w:val="24"/>
          <w:szCs w:val="24"/>
          <w:lang w:val="es"/>
        </w:rPr>
        <w:t>Condado Sussex</w:t>
      </w:r>
      <w:r w:rsidRPr="003F73C0">
        <w:rPr>
          <w:rFonts w:ascii="Segoe UI Light" w:hAnsi="Segoe UI Light" w:cs="Segoe UI Light"/>
          <w:sz w:val="24"/>
          <w:szCs w:val="24"/>
          <w:lang w:val="es"/>
        </w:rPr>
        <w:t xml:space="preserve">, </w:t>
      </w:r>
      <w:r w:rsidR="00EC7D81" w:rsidRPr="003F73C0">
        <w:rPr>
          <w:rFonts w:ascii="Segoe UI Light" w:hAnsi="Segoe UI Light" w:cs="Segoe UI Light"/>
          <w:sz w:val="24"/>
          <w:szCs w:val="24"/>
          <w:lang w:val="es"/>
        </w:rPr>
        <w:t>Delaware</w:t>
      </w:r>
      <w:r w:rsidRPr="003F73C0">
        <w:rPr>
          <w:rFonts w:ascii="Segoe UI Light" w:hAnsi="Segoe UI Light" w:cs="Segoe UI Light"/>
          <w:sz w:val="24"/>
          <w:szCs w:val="24"/>
          <w:lang w:val="es"/>
        </w:rPr>
        <w:t>.</w:t>
      </w:r>
      <w:r w:rsidR="00EC7D81" w:rsidRPr="003F73C0">
        <w:rPr>
          <w:rFonts w:ascii="Segoe UI Light" w:hAnsi="Segoe UI Light" w:cs="Segoe UI Light"/>
          <w:sz w:val="24"/>
          <w:szCs w:val="24"/>
          <w:lang w:val="es"/>
        </w:rPr>
        <w:t xml:space="preserve"> USA.</w:t>
      </w:r>
    </w:p>
    <w:p w14:paraId="0E6CAD0F" w14:textId="77777777" w:rsidR="005304D1" w:rsidRPr="003F73C0" w:rsidRDefault="005304D1" w:rsidP="005304D1">
      <w:pPr>
        <w:numPr>
          <w:ilvl w:val="0"/>
          <w:numId w:val="1"/>
        </w:numPr>
        <w:ind w:hanging="360"/>
        <w:jc w:val="left"/>
        <w:rPr>
          <w:rFonts w:ascii="Segoe UI Light" w:hAnsi="Segoe UI Light" w:cs="Segoe UI Light"/>
          <w:sz w:val="24"/>
          <w:szCs w:val="24"/>
        </w:rPr>
      </w:pPr>
      <w:r w:rsidRPr="003F73C0">
        <w:rPr>
          <w:rFonts w:ascii="Segoe UI Light" w:hAnsi="Segoe UI Light" w:cs="Segoe UI Light"/>
          <w:sz w:val="24"/>
          <w:szCs w:val="24"/>
          <w:lang w:val="es"/>
        </w:rPr>
        <w:t xml:space="preserve">Si se encuentra en cualquiera de los países o regiones identificados a continuación, se aplicarán las siguientes disposiciones específicas del país: </w:t>
      </w:r>
      <w:r w:rsidRPr="003F73C0">
        <w:rPr>
          <w:rFonts w:ascii="Segoe UI Light" w:hAnsi="Segoe UI Light" w:cs="Segoe UI Light"/>
          <w:sz w:val="24"/>
          <w:szCs w:val="24"/>
          <w:lang w:val="es"/>
        </w:rPr>
        <w:br/>
      </w:r>
    </w:p>
    <w:tbl>
      <w:tblPr>
        <w:tblStyle w:val="TableGrid"/>
        <w:tblW w:w="8870" w:type="dxa"/>
        <w:tblInd w:w="606" w:type="dxa"/>
        <w:tblCellMar>
          <w:top w:w="71" w:type="dxa"/>
          <w:left w:w="114" w:type="dxa"/>
          <w:right w:w="62" w:type="dxa"/>
        </w:tblCellMar>
        <w:tblLook w:val="04A0" w:firstRow="1" w:lastRow="0" w:firstColumn="1" w:lastColumn="0" w:noHBand="0" w:noVBand="1"/>
      </w:tblPr>
      <w:tblGrid>
        <w:gridCol w:w="8870"/>
      </w:tblGrid>
      <w:tr w:rsidR="005304D1" w:rsidRPr="003F73C0" w14:paraId="4BB37C75" w14:textId="77777777" w:rsidTr="005304D1">
        <w:trPr>
          <w:trHeight w:val="514"/>
        </w:trPr>
        <w:tc>
          <w:tcPr>
            <w:tcW w:w="8870" w:type="dxa"/>
            <w:tcBorders>
              <w:top w:val="nil"/>
              <w:left w:val="nil"/>
              <w:bottom w:val="nil"/>
              <w:right w:val="nil"/>
            </w:tcBorders>
            <w:shd w:val="clear" w:color="auto" w:fill="000000"/>
          </w:tcPr>
          <w:p w14:paraId="7A37DA02" w14:textId="77777777"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b/>
                <w:color w:val="FFFFFF"/>
                <w:sz w:val="24"/>
                <w:szCs w:val="24"/>
                <w:lang w:val="es"/>
              </w:rPr>
              <w:t xml:space="preserve">Australia o sus territorios exteriores, </w:t>
            </w:r>
            <w:proofErr w:type="spellStart"/>
            <w:r w:rsidRPr="003F73C0">
              <w:rPr>
                <w:rFonts w:ascii="Segoe UI Light" w:hAnsi="Segoe UI Light" w:cs="Segoe UI Light"/>
                <w:b/>
                <w:color w:val="FFFFFF"/>
                <w:sz w:val="24"/>
                <w:szCs w:val="24"/>
                <w:lang w:val="es"/>
              </w:rPr>
              <w:t>Brunei</w:t>
            </w:r>
            <w:proofErr w:type="spellEnd"/>
            <w:r w:rsidRPr="003F73C0">
              <w:rPr>
                <w:rFonts w:ascii="Segoe UI Light" w:hAnsi="Segoe UI Light" w:cs="Segoe UI Light"/>
                <w:b/>
                <w:color w:val="FFFFFF"/>
                <w:sz w:val="24"/>
                <w:szCs w:val="24"/>
                <w:lang w:val="es"/>
              </w:rPr>
              <w:t xml:space="preserve">, Malasia, Nueva Zelanda o Singapur </w:t>
            </w:r>
          </w:p>
        </w:tc>
      </w:tr>
      <w:tr w:rsidR="005304D1" w:rsidRPr="003F73C0" w14:paraId="6CFD0517" w14:textId="77777777" w:rsidTr="005304D1">
        <w:trPr>
          <w:trHeight w:val="886"/>
        </w:trPr>
        <w:tc>
          <w:tcPr>
            <w:tcW w:w="8870" w:type="dxa"/>
            <w:tcBorders>
              <w:top w:val="nil"/>
              <w:left w:val="single" w:sz="4" w:space="0" w:color="000000"/>
              <w:bottom w:val="single" w:sz="4" w:space="0" w:color="000000"/>
              <w:right w:val="single" w:sz="4" w:space="0" w:color="000000"/>
            </w:tcBorders>
          </w:tcPr>
          <w:p w14:paraId="3FBA668D" w14:textId="07518C40" w:rsidR="005304D1" w:rsidRPr="003F73C0" w:rsidRDefault="005304D1" w:rsidP="005304D1">
            <w:pPr>
              <w:spacing w:after="0" w:line="259" w:lineRule="auto"/>
              <w:ind w:left="0" w:right="57" w:firstLine="0"/>
              <w:rPr>
                <w:rFonts w:ascii="Segoe UI Light" w:hAnsi="Segoe UI Light" w:cs="Segoe UI Light"/>
                <w:sz w:val="24"/>
                <w:szCs w:val="24"/>
              </w:rPr>
            </w:pPr>
            <w:r w:rsidRPr="003F73C0">
              <w:rPr>
                <w:rFonts w:ascii="Segoe UI Light" w:hAnsi="Segoe UI Light" w:cs="Segoe UI Light"/>
                <w:sz w:val="24"/>
                <w:szCs w:val="24"/>
                <w:lang w:val="es"/>
              </w:rPr>
              <w:t xml:space="preserve">Salvo disposición en contrario, (i) el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 xml:space="preserve"> se rige y debe interpretarse de acuerdo con las leyes de Singapur y (ii) usted da su consentimiento a la jurisdicción y competencia en los tribunales de Singapur en todas las disputas relacionadas con el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w:t>
            </w:r>
          </w:p>
        </w:tc>
      </w:tr>
    </w:tbl>
    <w:p w14:paraId="41B92357" w14:textId="77777777" w:rsidR="005304D1" w:rsidRPr="003F73C0" w:rsidRDefault="005304D1" w:rsidP="005304D1">
      <w:pPr>
        <w:spacing w:after="0" w:line="259" w:lineRule="auto"/>
        <w:ind w:left="720" w:firstLine="0"/>
        <w:jc w:val="left"/>
        <w:rPr>
          <w:rFonts w:ascii="Segoe UI Light" w:hAnsi="Segoe UI Light" w:cs="Segoe UI Light"/>
          <w:sz w:val="24"/>
          <w:szCs w:val="24"/>
        </w:rPr>
      </w:pPr>
      <w:r w:rsidRPr="003F73C0">
        <w:rPr>
          <w:rFonts w:ascii="Segoe UI Light" w:hAnsi="Segoe UI Light" w:cs="Segoe UI Light"/>
          <w:sz w:val="24"/>
          <w:szCs w:val="24"/>
        </w:rPr>
        <w:t xml:space="preserve"> </w:t>
      </w:r>
    </w:p>
    <w:tbl>
      <w:tblPr>
        <w:tblStyle w:val="TableGrid"/>
        <w:tblW w:w="8870" w:type="dxa"/>
        <w:tblInd w:w="606" w:type="dxa"/>
        <w:tblCellMar>
          <w:top w:w="71" w:type="dxa"/>
          <w:left w:w="114" w:type="dxa"/>
          <w:right w:w="59" w:type="dxa"/>
        </w:tblCellMar>
        <w:tblLook w:val="04A0" w:firstRow="1" w:lastRow="0" w:firstColumn="1" w:lastColumn="0" w:noHBand="0" w:noVBand="1"/>
      </w:tblPr>
      <w:tblGrid>
        <w:gridCol w:w="8870"/>
      </w:tblGrid>
      <w:tr w:rsidR="005304D1" w:rsidRPr="003F73C0" w14:paraId="2287F819" w14:textId="77777777" w:rsidTr="005304D1">
        <w:trPr>
          <w:trHeight w:val="802"/>
        </w:trPr>
        <w:tc>
          <w:tcPr>
            <w:tcW w:w="8870" w:type="dxa"/>
            <w:tcBorders>
              <w:top w:val="nil"/>
              <w:left w:val="nil"/>
              <w:bottom w:val="nil"/>
              <w:right w:val="nil"/>
            </w:tcBorders>
            <w:shd w:val="clear" w:color="auto" w:fill="000000"/>
          </w:tcPr>
          <w:p w14:paraId="768D8E4E" w14:textId="77777777"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b/>
                <w:color w:val="FFFFFF"/>
                <w:sz w:val="24"/>
                <w:szCs w:val="24"/>
                <w:lang w:val="es"/>
              </w:rPr>
              <w:t xml:space="preserve">Bangladesh, Hong Kong S.A.R., India, Indonesia, Macao S.A.R., Filipinas, Sri Lanka, </w:t>
            </w:r>
          </w:p>
          <w:p w14:paraId="2F992E0A" w14:textId="77777777"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b/>
                <w:color w:val="FFFFFF"/>
                <w:sz w:val="24"/>
                <w:szCs w:val="24"/>
                <w:lang w:val="es"/>
              </w:rPr>
              <w:t xml:space="preserve">Tailandia o Vietnam </w:t>
            </w:r>
          </w:p>
        </w:tc>
      </w:tr>
      <w:tr w:rsidR="005304D1" w:rsidRPr="003F73C0" w14:paraId="688AF9FD" w14:textId="77777777" w:rsidTr="005304D1">
        <w:trPr>
          <w:trHeight w:val="3183"/>
        </w:trPr>
        <w:tc>
          <w:tcPr>
            <w:tcW w:w="8870" w:type="dxa"/>
            <w:tcBorders>
              <w:top w:val="nil"/>
              <w:left w:val="single" w:sz="4" w:space="0" w:color="000000"/>
              <w:bottom w:val="single" w:sz="4" w:space="0" w:color="000000"/>
              <w:right w:val="single" w:sz="4" w:space="0" w:color="000000"/>
            </w:tcBorders>
          </w:tcPr>
          <w:p w14:paraId="55458EFA" w14:textId="4A721614" w:rsidR="005304D1" w:rsidRPr="003F73C0" w:rsidRDefault="005304D1" w:rsidP="005304D1">
            <w:pPr>
              <w:spacing w:after="0" w:line="259" w:lineRule="auto"/>
              <w:ind w:left="0" w:right="55" w:firstLine="0"/>
              <w:rPr>
                <w:rFonts w:ascii="Segoe UI Light" w:hAnsi="Segoe UI Light" w:cs="Segoe UI Light"/>
                <w:sz w:val="24"/>
                <w:szCs w:val="24"/>
              </w:rPr>
            </w:pPr>
            <w:r w:rsidRPr="003F73C0">
              <w:rPr>
                <w:rFonts w:ascii="Segoe UI Light" w:hAnsi="Segoe UI Light" w:cs="Segoe UI Light"/>
                <w:sz w:val="24"/>
                <w:szCs w:val="24"/>
                <w:lang w:val="es"/>
              </w:rPr>
              <w:lastRenderedPageBreak/>
              <w:t xml:space="preserve">Salvo disposición en contrario, (i) el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 xml:space="preserve"> se rige y debe interpretarse de acuerdo con las leyes de Singapur y (ii) cualquier disputa que surja de o en relación con el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 incluyendo cualquier cuestión relativa a su existencia, validez o terminación, debe ser referida y finalmente resuelta por arbitraje en Singapur bajo las Reglas de Arbitraje del Centro Internacional de Arbitraje de Singapur ("</w:t>
            </w:r>
            <w:r w:rsidRPr="003F73C0">
              <w:rPr>
                <w:rFonts w:ascii="Segoe UI Light" w:hAnsi="Segoe UI Light" w:cs="Segoe UI Light"/>
                <w:b/>
                <w:sz w:val="24"/>
                <w:szCs w:val="24"/>
                <w:lang w:val="es"/>
              </w:rPr>
              <w:t>SIAC</w:t>
            </w:r>
            <w:r w:rsidRPr="003F73C0">
              <w:rPr>
                <w:rFonts w:ascii="Segoe UI Light" w:hAnsi="Segoe UI Light" w:cs="Segoe UI Light"/>
                <w:sz w:val="24"/>
                <w:szCs w:val="24"/>
                <w:lang w:val="es"/>
              </w:rPr>
              <w:t xml:space="preserve">"), que se consideran incorporadas por referencia en esta sección.  El Tribunal estará compuesto por un árbitro que será nombrado por el Presidente de la SIAC.  El idioma del arbitraje será el inglés.  La decisión del árbitro será definitiva, vinculante e incontestable y podrá utilizarse como base para el juicio al respecto en Bangladesh, India, Indonesia, Filipinas, Sri Lanka, Tailandia o Vietnam (según corresponda), o en cualquier otro lugar. Si su sede principal se encuentra en la India, los tribunales de Nueva Delhi tendrán jurisdicción exclusiva para entretener cualquier demanda relacionada con la ejecución del laudo y/o la adjudicación de cualquier protección provisional. </w:t>
            </w:r>
          </w:p>
        </w:tc>
      </w:tr>
    </w:tbl>
    <w:p w14:paraId="36A551B4" w14:textId="77777777" w:rsidR="005304D1" w:rsidRPr="003F73C0" w:rsidRDefault="005304D1" w:rsidP="005304D1">
      <w:pPr>
        <w:spacing w:after="0" w:line="259" w:lineRule="auto"/>
        <w:ind w:left="720" w:firstLine="0"/>
        <w:rPr>
          <w:rFonts w:ascii="Segoe UI Light" w:hAnsi="Segoe UI Light" w:cs="Segoe UI Light"/>
          <w:sz w:val="24"/>
          <w:szCs w:val="24"/>
        </w:rPr>
      </w:pPr>
      <w:r w:rsidRPr="003F73C0">
        <w:rPr>
          <w:rFonts w:ascii="Segoe UI Light" w:hAnsi="Segoe UI Light" w:cs="Segoe UI Light"/>
          <w:sz w:val="24"/>
          <w:szCs w:val="24"/>
        </w:rPr>
        <w:t xml:space="preserve"> </w:t>
      </w:r>
    </w:p>
    <w:tbl>
      <w:tblPr>
        <w:tblStyle w:val="TableGrid"/>
        <w:tblW w:w="8870" w:type="dxa"/>
        <w:tblInd w:w="606" w:type="dxa"/>
        <w:tblCellMar>
          <w:top w:w="71" w:type="dxa"/>
          <w:left w:w="114" w:type="dxa"/>
          <w:right w:w="62" w:type="dxa"/>
        </w:tblCellMar>
        <w:tblLook w:val="04A0" w:firstRow="1" w:lastRow="0" w:firstColumn="1" w:lastColumn="0" w:noHBand="0" w:noVBand="1"/>
      </w:tblPr>
      <w:tblGrid>
        <w:gridCol w:w="8870"/>
      </w:tblGrid>
      <w:tr w:rsidR="005304D1" w:rsidRPr="003F73C0" w14:paraId="4E4AC910" w14:textId="77777777" w:rsidTr="005304D1">
        <w:trPr>
          <w:trHeight w:val="1663"/>
        </w:trPr>
        <w:tc>
          <w:tcPr>
            <w:tcW w:w="8870" w:type="dxa"/>
            <w:tcBorders>
              <w:top w:val="nil"/>
              <w:left w:val="nil"/>
              <w:bottom w:val="nil"/>
              <w:right w:val="nil"/>
            </w:tcBorders>
            <w:shd w:val="clear" w:color="auto" w:fill="000000"/>
          </w:tcPr>
          <w:p w14:paraId="0C41AB06" w14:textId="057D609D" w:rsidR="005304D1" w:rsidRPr="003F73C0" w:rsidRDefault="005304D1" w:rsidP="005304D1">
            <w:pPr>
              <w:spacing w:after="1"/>
              <w:ind w:left="0" w:right="56" w:firstLine="0"/>
              <w:rPr>
                <w:rFonts w:ascii="Segoe UI Light" w:hAnsi="Segoe UI Light" w:cs="Segoe UI Light"/>
                <w:sz w:val="24"/>
                <w:szCs w:val="24"/>
              </w:rPr>
            </w:pPr>
            <w:r w:rsidRPr="003F73C0">
              <w:rPr>
                <w:rFonts w:ascii="Segoe UI Light" w:hAnsi="Segoe UI Light" w:cs="Segoe UI Light"/>
                <w:b/>
                <w:color w:val="FFFFFF"/>
                <w:sz w:val="24"/>
                <w:szCs w:val="24"/>
                <w:lang w:val="es"/>
              </w:rPr>
              <w:t xml:space="preserve">Bután, Camboya, Islas Cook, </w:t>
            </w:r>
            <w:proofErr w:type="spellStart"/>
            <w:r w:rsidRPr="003F73C0">
              <w:rPr>
                <w:rFonts w:ascii="Segoe UI Light" w:hAnsi="Segoe UI Light" w:cs="Segoe UI Light"/>
                <w:b/>
                <w:color w:val="FFFFFF"/>
                <w:sz w:val="24"/>
                <w:szCs w:val="24"/>
                <w:lang w:val="es"/>
              </w:rPr>
              <w:t>Fiji</w:t>
            </w:r>
            <w:proofErr w:type="spellEnd"/>
            <w:r w:rsidRPr="003F73C0">
              <w:rPr>
                <w:rFonts w:ascii="Segoe UI Light" w:hAnsi="Segoe UI Light" w:cs="Segoe UI Light"/>
                <w:b/>
                <w:color w:val="FFFFFF"/>
                <w:sz w:val="24"/>
                <w:szCs w:val="24"/>
                <w:lang w:val="es"/>
              </w:rPr>
              <w:t xml:space="preserve">, Polinesia Francesa, Territorios franceses del Sur, Kiribati, República Democrática de los Pueblos Laosianos, Maldivas, Islas Marshall, Mayotte, Micronesia, Myanmar, Nauru, Nepal, Niue, Islas Marianas del Norte, Palau, Papúa Nueva Guinea, Pitcairn, Samoa, islas Salomón, Timor </w:t>
            </w:r>
            <w:proofErr w:type="spellStart"/>
            <w:proofErr w:type="gramStart"/>
            <w:r w:rsidRPr="003F73C0">
              <w:rPr>
                <w:rFonts w:ascii="Segoe UI Light" w:hAnsi="Segoe UI Light" w:cs="Segoe UI Light"/>
                <w:b/>
                <w:color w:val="FFFFFF"/>
                <w:sz w:val="24"/>
                <w:szCs w:val="24"/>
                <w:lang w:val="es"/>
              </w:rPr>
              <w:t>Leste,Tokelau</w:t>
            </w:r>
            <w:proofErr w:type="spellEnd"/>
            <w:proofErr w:type="gramEnd"/>
            <w:r w:rsidRPr="003F73C0">
              <w:rPr>
                <w:rFonts w:ascii="Segoe UI Light" w:hAnsi="Segoe UI Light" w:cs="Segoe UI Light"/>
                <w:b/>
                <w:color w:val="FFFFFF"/>
                <w:sz w:val="24"/>
                <w:szCs w:val="24"/>
                <w:lang w:val="es"/>
              </w:rPr>
              <w:t xml:space="preserve">, Tonga, Tuvalu, Wallis y Las Islas Futuna, o Vanuatu </w:t>
            </w:r>
          </w:p>
        </w:tc>
      </w:tr>
      <w:tr w:rsidR="005304D1" w:rsidRPr="003F73C0" w14:paraId="5C6826D5" w14:textId="77777777" w:rsidTr="005304D1">
        <w:trPr>
          <w:trHeight w:val="600"/>
        </w:trPr>
        <w:tc>
          <w:tcPr>
            <w:tcW w:w="8870" w:type="dxa"/>
            <w:tcBorders>
              <w:top w:val="nil"/>
              <w:left w:val="single" w:sz="4" w:space="0" w:color="000000"/>
              <w:bottom w:val="single" w:sz="4" w:space="0" w:color="000000"/>
              <w:right w:val="single" w:sz="4" w:space="0" w:color="000000"/>
            </w:tcBorders>
          </w:tcPr>
          <w:p w14:paraId="26105A62" w14:textId="63D3E1B8" w:rsidR="005304D1" w:rsidRPr="003F73C0" w:rsidRDefault="005304D1" w:rsidP="005304D1">
            <w:pPr>
              <w:spacing w:after="0" w:line="259" w:lineRule="auto"/>
              <w:ind w:left="0" w:firstLine="0"/>
              <w:rPr>
                <w:rFonts w:ascii="Segoe UI Light" w:hAnsi="Segoe UI Light" w:cs="Segoe UI Light"/>
                <w:sz w:val="24"/>
                <w:szCs w:val="24"/>
              </w:rPr>
            </w:pPr>
            <w:r w:rsidRPr="003F73C0">
              <w:rPr>
                <w:rFonts w:ascii="Segoe UI Light" w:hAnsi="Segoe UI Light" w:cs="Segoe UI Light"/>
                <w:sz w:val="24"/>
                <w:szCs w:val="24"/>
                <w:lang w:val="es"/>
              </w:rPr>
              <w:t xml:space="preserve">Salvo disposición en contrario, el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 xml:space="preserve"> se rige y debe interpretarse de conformidad con las leyes de Singapur. </w:t>
            </w:r>
          </w:p>
        </w:tc>
      </w:tr>
    </w:tbl>
    <w:p w14:paraId="22A6B34A" w14:textId="77777777" w:rsidR="005304D1" w:rsidRPr="003F73C0" w:rsidRDefault="005304D1" w:rsidP="005304D1">
      <w:pPr>
        <w:spacing w:after="0" w:line="259" w:lineRule="auto"/>
        <w:ind w:left="720" w:firstLine="0"/>
        <w:rPr>
          <w:rFonts w:ascii="Segoe UI Light" w:hAnsi="Segoe UI Light" w:cs="Segoe UI Light"/>
          <w:sz w:val="24"/>
          <w:szCs w:val="24"/>
        </w:rPr>
      </w:pPr>
      <w:r w:rsidRPr="003F73C0">
        <w:rPr>
          <w:rFonts w:ascii="Segoe UI Light" w:hAnsi="Segoe UI Light" w:cs="Segoe UI Light"/>
          <w:sz w:val="24"/>
          <w:szCs w:val="24"/>
        </w:rPr>
        <w:t xml:space="preserve"> </w:t>
      </w:r>
    </w:p>
    <w:tbl>
      <w:tblPr>
        <w:tblStyle w:val="TableGrid"/>
        <w:tblW w:w="8870" w:type="dxa"/>
        <w:tblInd w:w="606" w:type="dxa"/>
        <w:tblCellMar>
          <w:top w:w="71" w:type="dxa"/>
          <w:left w:w="114" w:type="dxa"/>
          <w:right w:w="62" w:type="dxa"/>
        </w:tblCellMar>
        <w:tblLook w:val="04A0" w:firstRow="1" w:lastRow="0" w:firstColumn="1" w:lastColumn="0" w:noHBand="0" w:noVBand="1"/>
      </w:tblPr>
      <w:tblGrid>
        <w:gridCol w:w="8870"/>
      </w:tblGrid>
      <w:tr w:rsidR="005304D1" w:rsidRPr="003F73C0" w14:paraId="51CF850C" w14:textId="77777777" w:rsidTr="005304D1">
        <w:trPr>
          <w:trHeight w:val="514"/>
        </w:trPr>
        <w:tc>
          <w:tcPr>
            <w:tcW w:w="8870" w:type="dxa"/>
            <w:tcBorders>
              <w:top w:val="nil"/>
              <w:left w:val="nil"/>
              <w:bottom w:val="nil"/>
              <w:right w:val="nil"/>
            </w:tcBorders>
            <w:shd w:val="clear" w:color="auto" w:fill="000000"/>
          </w:tcPr>
          <w:p w14:paraId="7038E5A9" w14:textId="77777777"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b/>
                <w:color w:val="FFFFFF"/>
                <w:sz w:val="24"/>
                <w:szCs w:val="24"/>
                <w:lang w:val="es"/>
              </w:rPr>
              <w:t xml:space="preserve">EMEA (como se define a continuación) </w:t>
            </w:r>
          </w:p>
        </w:tc>
      </w:tr>
      <w:tr w:rsidR="005304D1" w:rsidRPr="003F73C0" w14:paraId="4778F938" w14:textId="77777777" w:rsidTr="005304D1">
        <w:trPr>
          <w:trHeight w:val="886"/>
        </w:trPr>
        <w:tc>
          <w:tcPr>
            <w:tcW w:w="8870" w:type="dxa"/>
            <w:tcBorders>
              <w:top w:val="nil"/>
              <w:left w:val="single" w:sz="4" w:space="0" w:color="000000"/>
              <w:bottom w:val="single" w:sz="4" w:space="0" w:color="000000"/>
              <w:right w:val="single" w:sz="4" w:space="0" w:color="000000"/>
            </w:tcBorders>
          </w:tcPr>
          <w:p w14:paraId="212FF28E" w14:textId="3D7111E5" w:rsidR="005304D1" w:rsidRPr="003F73C0" w:rsidRDefault="005304D1" w:rsidP="005304D1">
            <w:pPr>
              <w:spacing w:after="0" w:line="259" w:lineRule="auto"/>
              <w:ind w:left="0" w:right="57" w:firstLine="0"/>
              <w:rPr>
                <w:rFonts w:ascii="Segoe UI Light" w:hAnsi="Segoe UI Light" w:cs="Segoe UI Light"/>
                <w:sz w:val="24"/>
                <w:szCs w:val="24"/>
              </w:rPr>
            </w:pPr>
            <w:r w:rsidRPr="003F73C0">
              <w:rPr>
                <w:rFonts w:ascii="Segoe UI Light" w:hAnsi="Segoe UI Light" w:cs="Segoe UI Light"/>
                <w:sz w:val="24"/>
                <w:szCs w:val="24"/>
                <w:lang w:val="es"/>
              </w:rPr>
              <w:t xml:space="preserve">Salvo disposición en contrario, (i) </w:t>
            </w:r>
            <w:r w:rsidR="00EC7D81" w:rsidRPr="003F73C0">
              <w:rPr>
                <w:rFonts w:ascii="Segoe UI Light" w:hAnsi="Segoe UI Light" w:cs="Segoe UI Light"/>
                <w:sz w:val="24"/>
                <w:szCs w:val="24"/>
                <w:lang w:val="es"/>
              </w:rPr>
              <w:t>los</w:t>
            </w:r>
            <w:r w:rsidRPr="003F73C0">
              <w:rPr>
                <w:rFonts w:ascii="Segoe UI Light" w:hAnsi="Segoe UI Light" w:cs="Segoe UI Light"/>
                <w:sz w:val="24"/>
                <w:szCs w:val="24"/>
                <w:lang w:val="es"/>
              </w:rPr>
              <w:t xml:space="preserve">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 xml:space="preserve"> se rige y debe interpretarse de acuerdo con las leyes de Irlanda y (ii) usted da su consentimiento a la jurisdicción y competencia en los tribunales irlandeses en todas las disputas relacionadas con </w:t>
            </w:r>
            <w:r w:rsidR="00EC7D81" w:rsidRPr="003F73C0">
              <w:rPr>
                <w:rFonts w:ascii="Segoe UI Light" w:hAnsi="Segoe UI Light" w:cs="Segoe UI Light"/>
                <w:sz w:val="24"/>
                <w:szCs w:val="24"/>
                <w:lang w:val="es"/>
              </w:rPr>
              <w:t>los</w:t>
            </w:r>
            <w:r w:rsidRPr="003F73C0">
              <w:rPr>
                <w:rFonts w:ascii="Segoe UI Light" w:hAnsi="Segoe UI Light" w:cs="Segoe UI Light"/>
                <w:sz w:val="24"/>
                <w:szCs w:val="24"/>
                <w:lang w:val="es"/>
              </w:rPr>
              <w:t xml:space="preserve">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w:t>
            </w:r>
          </w:p>
        </w:tc>
      </w:tr>
    </w:tbl>
    <w:p w14:paraId="06FDA5B3" w14:textId="77777777" w:rsidR="005304D1" w:rsidRPr="003F73C0" w:rsidRDefault="005304D1" w:rsidP="005304D1">
      <w:pPr>
        <w:spacing w:after="0" w:line="259" w:lineRule="auto"/>
        <w:ind w:left="720" w:firstLine="0"/>
        <w:rPr>
          <w:rFonts w:ascii="Segoe UI Light" w:hAnsi="Segoe UI Light" w:cs="Segoe UI Light"/>
          <w:sz w:val="24"/>
          <w:szCs w:val="24"/>
        </w:rPr>
      </w:pPr>
      <w:r w:rsidRPr="003F73C0">
        <w:rPr>
          <w:rFonts w:ascii="Segoe UI Light" w:hAnsi="Segoe UI Light" w:cs="Segoe UI Light"/>
          <w:sz w:val="24"/>
          <w:szCs w:val="24"/>
        </w:rPr>
        <w:t xml:space="preserve"> </w:t>
      </w:r>
    </w:p>
    <w:tbl>
      <w:tblPr>
        <w:tblStyle w:val="TableGrid"/>
        <w:tblW w:w="8870" w:type="dxa"/>
        <w:tblInd w:w="606" w:type="dxa"/>
        <w:tblCellMar>
          <w:top w:w="71" w:type="dxa"/>
          <w:left w:w="114" w:type="dxa"/>
          <w:right w:w="62" w:type="dxa"/>
        </w:tblCellMar>
        <w:tblLook w:val="04A0" w:firstRow="1" w:lastRow="0" w:firstColumn="1" w:lastColumn="0" w:noHBand="0" w:noVBand="1"/>
      </w:tblPr>
      <w:tblGrid>
        <w:gridCol w:w="8870"/>
      </w:tblGrid>
      <w:tr w:rsidR="005304D1" w:rsidRPr="003F73C0" w14:paraId="31DE7B75" w14:textId="77777777" w:rsidTr="005304D1">
        <w:trPr>
          <w:trHeight w:val="514"/>
        </w:trPr>
        <w:tc>
          <w:tcPr>
            <w:tcW w:w="8870" w:type="dxa"/>
            <w:tcBorders>
              <w:top w:val="nil"/>
              <w:left w:val="nil"/>
              <w:bottom w:val="nil"/>
              <w:right w:val="nil"/>
            </w:tcBorders>
            <w:shd w:val="clear" w:color="auto" w:fill="000000"/>
          </w:tcPr>
          <w:p w14:paraId="4BCA7B06" w14:textId="77777777"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b/>
                <w:color w:val="FFFFFF"/>
                <w:sz w:val="24"/>
                <w:szCs w:val="24"/>
                <w:lang w:val="es"/>
              </w:rPr>
              <w:t xml:space="preserve">Japón </w:t>
            </w:r>
          </w:p>
        </w:tc>
      </w:tr>
      <w:tr w:rsidR="005304D1" w:rsidRPr="003F73C0" w14:paraId="24D412A7" w14:textId="77777777" w:rsidTr="005304D1">
        <w:trPr>
          <w:trHeight w:val="886"/>
        </w:trPr>
        <w:tc>
          <w:tcPr>
            <w:tcW w:w="8870" w:type="dxa"/>
            <w:tcBorders>
              <w:top w:val="nil"/>
              <w:left w:val="single" w:sz="4" w:space="0" w:color="000000"/>
              <w:bottom w:val="single" w:sz="4" w:space="0" w:color="000000"/>
              <w:right w:val="single" w:sz="4" w:space="0" w:color="000000"/>
            </w:tcBorders>
          </w:tcPr>
          <w:p w14:paraId="3F330F05" w14:textId="352A4115" w:rsidR="005304D1" w:rsidRPr="003F73C0" w:rsidRDefault="005304D1" w:rsidP="005304D1">
            <w:pPr>
              <w:spacing w:after="0" w:line="259" w:lineRule="auto"/>
              <w:ind w:left="0" w:right="55" w:firstLine="0"/>
              <w:rPr>
                <w:rFonts w:ascii="Segoe UI Light" w:hAnsi="Segoe UI Light" w:cs="Segoe UI Light"/>
                <w:sz w:val="24"/>
                <w:szCs w:val="24"/>
              </w:rPr>
            </w:pPr>
            <w:r w:rsidRPr="003F73C0">
              <w:rPr>
                <w:rFonts w:ascii="Segoe UI Light" w:hAnsi="Segoe UI Light" w:cs="Segoe UI Light"/>
                <w:sz w:val="24"/>
                <w:szCs w:val="24"/>
                <w:lang w:val="es"/>
              </w:rPr>
              <w:t xml:space="preserve">Salvo disposición en contrario, (i) </w:t>
            </w:r>
            <w:r w:rsidR="00EC7D81" w:rsidRPr="003F73C0">
              <w:rPr>
                <w:rFonts w:ascii="Segoe UI Light" w:hAnsi="Segoe UI Light" w:cs="Segoe UI Light"/>
                <w:sz w:val="24"/>
                <w:szCs w:val="24"/>
                <w:lang w:val="es"/>
              </w:rPr>
              <w:t>los</w:t>
            </w:r>
            <w:r w:rsidRPr="003F73C0">
              <w:rPr>
                <w:rFonts w:ascii="Segoe UI Light" w:hAnsi="Segoe UI Light" w:cs="Segoe UI Light"/>
                <w:sz w:val="24"/>
                <w:szCs w:val="24"/>
                <w:lang w:val="es"/>
              </w:rPr>
              <w:t xml:space="preserve">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 xml:space="preserve"> se rige</w:t>
            </w:r>
            <w:r w:rsidR="00EC7D81" w:rsidRPr="003F73C0">
              <w:rPr>
                <w:rFonts w:ascii="Segoe UI Light" w:hAnsi="Segoe UI Light" w:cs="Segoe UI Light"/>
                <w:sz w:val="24"/>
                <w:szCs w:val="24"/>
                <w:lang w:val="es"/>
              </w:rPr>
              <w:t>n</w:t>
            </w:r>
            <w:r w:rsidRPr="003F73C0">
              <w:rPr>
                <w:rFonts w:ascii="Segoe UI Light" w:hAnsi="Segoe UI Light" w:cs="Segoe UI Light"/>
                <w:sz w:val="24"/>
                <w:szCs w:val="24"/>
                <w:lang w:val="es"/>
              </w:rPr>
              <w:t xml:space="preserve"> y debe interpretarse de acuerdo con las leyes de Japón y (ii) </w:t>
            </w:r>
            <w:r w:rsidRPr="003F73C0">
              <w:rPr>
                <w:rFonts w:ascii="Segoe UI Light" w:hAnsi="Segoe UI Light" w:cs="Segoe UI Light"/>
                <w:sz w:val="24"/>
                <w:szCs w:val="24"/>
                <w:lang w:val="es"/>
              </w:rPr>
              <w:lastRenderedPageBreak/>
              <w:t xml:space="preserve">usted da su consentimiento para la jurisdicción original exclusiva y la competencia en el Tribunal de Distrito de Tokio. </w:t>
            </w:r>
          </w:p>
        </w:tc>
      </w:tr>
    </w:tbl>
    <w:p w14:paraId="76DC505B" w14:textId="77777777" w:rsidR="005304D1" w:rsidRPr="003F73C0" w:rsidRDefault="005304D1" w:rsidP="005304D1">
      <w:pPr>
        <w:spacing w:after="0" w:line="259" w:lineRule="auto"/>
        <w:ind w:left="720" w:firstLine="0"/>
        <w:rPr>
          <w:rFonts w:ascii="Segoe UI Light" w:hAnsi="Segoe UI Light" w:cs="Segoe UI Light"/>
          <w:sz w:val="24"/>
          <w:szCs w:val="24"/>
        </w:rPr>
      </w:pPr>
      <w:r w:rsidRPr="003F73C0">
        <w:rPr>
          <w:rFonts w:ascii="Segoe UI Light" w:hAnsi="Segoe UI Light" w:cs="Segoe UI Light"/>
          <w:sz w:val="24"/>
          <w:szCs w:val="24"/>
        </w:rPr>
        <w:lastRenderedPageBreak/>
        <w:t xml:space="preserve"> </w:t>
      </w:r>
    </w:p>
    <w:tbl>
      <w:tblPr>
        <w:tblStyle w:val="TableGrid"/>
        <w:tblW w:w="8870" w:type="dxa"/>
        <w:tblInd w:w="606" w:type="dxa"/>
        <w:tblCellMar>
          <w:top w:w="71" w:type="dxa"/>
          <w:left w:w="114" w:type="dxa"/>
          <w:right w:w="61" w:type="dxa"/>
        </w:tblCellMar>
        <w:tblLook w:val="04A0" w:firstRow="1" w:lastRow="0" w:firstColumn="1" w:lastColumn="0" w:noHBand="0" w:noVBand="1"/>
      </w:tblPr>
      <w:tblGrid>
        <w:gridCol w:w="8870"/>
      </w:tblGrid>
      <w:tr w:rsidR="005304D1" w:rsidRPr="003F73C0" w14:paraId="0E85CB2E" w14:textId="77777777" w:rsidTr="005304D1">
        <w:trPr>
          <w:trHeight w:val="516"/>
        </w:trPr>
        <w:tc>
          <w:tcPr>
            <w:tcW w:w="8870" w:type="dxa"/>
            <w:tcBorders>
              <w:top w:val="nil"/>
              <w:left w:val="nil"/>
              <w:bottom w:val="nil"/>
              <w:right w:val="nil"/>
            </w:tcBorders>
            <w:shd w:val="clear" w:color="auto" w:fill="000000"/>
          </w:tcPr>
          <w:p w14:paraId="7D039C08" w14:textId="77777777"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b/>
                <w:color w:val="FFFFFF"/>
                <w:sz w:val="24"/>
                <w:szCs w:val="24"/>
                <w:lang w:val="es"/>
              </w:rPr>
              <w:t xml:space="preserve">República Popular China (no incluye Hong Kong S.A.R., Macao S.A.R. o Taiwán) </w:t>
            </w:r>
          </w:p>
        </w:tc>
      </w:tr>
      <w:tr w:rsidR="005304D1" w:rsidRPr="003F73C0" w14:paraId="7F653ECF" w14:textId="77777777" w:rsidTr="005304D1">
        <w:trPr>
          <w:trHeight w:val="1459"/>
        </w:trPr>
        <w:tc>
          <w:tcPr>
            <w:tcW w:w="8870" w:type="dxa"/>
            <w:tcBorders>
              <w:top w:val="nil"/>
              <w:left w:val="single" w:sz="4" w:space="0" w:color="000000"/>
              <w:bottom w:val="single" w:sz="4" w:space="0" w:color="000000"/>
              <w:right w:val="single" w:sz="4" w:space="0" w:color="000000"/>
            </w:tcBorders>
          </w:tcPr>
          <w:p w14:paraId="3DD06952" w14:textId="2549D39F" w:rsidR="005304D1" w:rsidRPr="003F73C0" w:rsidRDefault="005304D1" w:rsidP="005304D1">
            <w:pPr>
              <w:spacing w:after="0" w:line="259" w:lineRule="auto"/>
              <w:ind w:left="0" w:right="56" w:firstLine="0"/>
              <w:rPr>
                <w:rFonts w:ascii="Segoe UI Light" w:hAnsi="Segoe UI Light" w:cs="Segoe UI Light"/>
                <w:sz w:val="24"/>
                <w:szCs w:val="24"/>
              </w:rPr>
            </w:pPr>
            <w:r w:rsidRPr="003F73C0">
              <w:rPr>
                <w:rFonts w:ascii="Segoe UI Light" w:hAnsi="Segoe UI Light" w:cs="Segoe UI Light"/>
                <w:sz w:val="24"/>
                <w:szCs w:val="24"/>
                <w:lang w:val="es"/>
              </w:rPr>
              <w:t xml:space="preserve">Salvo disposición en contrario, (i) </w:t>
            </w:r>
            <w:r w:rsidR="00EC7D81" w:rsidRPr="003F73C0">
              <w:rPr>
                <w:rFonts w:ascii="Segoe UI Light" w:hAnsi="Segoe UI Light" w:cs="Segoe UI Light"/>
                <w:sz w:val="24"/>
                <w:szCs w:val="24"/>
                <w:lang w:val="es"/>
              </w:rPr>
              <w:t>los</w:t>
            </w:r>
            <w:r w:rsidRPr="003F73C0">
              <w:rPr>
                <w:rFonts w:ascii="Segoe UI Light" w:hAnsi="Segoe UI Light" w:cs="Segoe UI Light"/>
                <w:sz w:val="24"/>
                <w:szCs w:val="24"/>
                <w:lang w:val="es"/>
              </w:rPr>
              <w:t xml:space="preserve">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 xml:space="preserve"> se rige y debe interpretarse de acuerdo con las leyes de la República Popular China y (ii) usted acepta someter cualquier disputa relacionada con el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 xml:space="preserve"> a arbitraje vinculante. El arbitraje será en la Comisión Internacional de Arbitraje Económico y Comercial de China en Beijing ("</w:t>
            </w:r>
            <w:r w:rsidRPr="003F73C0">
              <w:rPr>
                <w:rFonts w:ascii="Segoe UI Light" w:hAnsi="Segoe UI Light" w:cs="Segoe UI Light"/>
                <w:b/>
                <w:sz w:val="24"/>
                <w:szCs w:val="24"/>
                <w:lang w:val="es"/>
              </w:rPr>
              <w:t>CIETAC</w:t>
            </w:r>
            <w:r w:rsidRPr="003F73C0">
              <w:rPr>
                <w:rFonts w:ascii="Segoe UI Light" w:hAnsi="Segoe UI Light" w:cs="Segoe UI Light"/>
                <w:sz w:val="24"/>
                <w:szCs w:val="24"/>
                <w:lang w:val="es"/>
              </w:rPr>
              <w:t>") de acuerdo con sus normas vigentes en ese momento.</w:t>
            </w:r>
          </w:p>
        </w:tc>
      </w:tr>
    </w:tbl>
    <w:p w14:paraId="6A278B19" w14:textId="77777777" w:rsidR="005304D1" w:rsidRPr="003F73C0" w:rsidRDefault="005304D1" w:rsidP="005304D1">
      <w:pPr>
        <w:spacing w:after="0" w:line="259" w:lineRule="auto"/>
        <w:ind w:left="720" w:firstLine="0"/>
        <w:rPr>
          <w:rFonts w:ascii="Segoe UI Light" w:hAnsi="Segoe UI Light" w:cs="Segoe UI Light"/>
          <w:sz w:val="24"/>
          <w:szCs w:val="24"/>
        </w:rPr>
      </w:pPr>
      <w:r w:rsidRPr="003F73C0">
        <w:rPr>
          <w:rFonts w:ascii="Segoe UI Light" w:hAnsi="Segoe UI Light" w:cs="Segoe UI Light"/>
          <w:sz w:val="24"/>
          <w:szCs w:val="24"/>
        </w:rPr>
        <w:t xml:space="preserve"> </w:t>
      </w:r>
    </w:p>
    <w:tbl>
      <w:tblPr>
        <w:tblStyle w:val="TableGrid"/>
        <w:tblW w:w="8870" w:type="dxa"/>
        <w:tblInd w:w="606" w:type="dxa"/>
        <w:tblCellMar>
          <w:top w:w="71" w:type="dxa"/>
          <w:left w:w="114" w:type="dxa"/>
          <w:right w:w="60" w:type="dxa"/>
        </w:tblCellMar>
        <w:tblLook w:val="04A0" w:firstRow="1" w:lastRow="0" w:firstColumn="1" w:lastColumn="0" w:noHBand="0" w:noVBand="1"/>
      </w:tblPr>
      <w:tblGrid>
        <w:gridCol w:w="8870"/>
      </w:tblGrid>
      <w:tr w:rsidR="005304D1" w:rsidRPr="003F73C0" w14:paraId="2C8E440E" w14:textId="77777777" w:rsidTr="005304D1">
        <w:trPr>
          <w:trHeight w:val="517"/>
        </w:trPr>
        <w:tc>
          <w:tcPr>
            <w:tcW w:w="8870" w:type="dxa"/>
            <w:tcBorders>
              <w:top w:val="nil"/>
              <w:left w:val="nil"/>
              <w:bottom w:val="nil"/>
              <w:right w:val="nil"/>
            </w:tcBorders>
            <w:shd w:val="clear" w:color="auto" w:fill="000000"/>
          </w:tcPr>
          <w:p w14:paraId="0A1040B0" w14:textId="77777777"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b/>
                <w:color w:val="FFFFFF"/>
                <w:sz w:val="24"/>
                <w:szCs w:val="24"/>
                <w:lang w:val="es"/>
              </w:rPr>
              <w:t xml:space="preserve">Colombia o Uruguay </w:t>
            </w:r>
          </w:p>
        </w:tc>
      </w:tr>
      <w:tr w:rsidR="005304D1" w:rsidRPr="003F73C0" w14:paraId="64DC8183" w14:textId="77777777" w:rsidTr="005304D1">
        <w:trPr>
          <w:trHeight w:val="2321"/>
        </w:trPr>
        <w:tc>
          <w:tcPr>
            <w:tcW w:w="8870" w:type="dxa"/>
            <w:tcBorders>
              <w:top w:val="nil"/>
              <w:left w:val="single" w:sz="4" w:space="0" w:color="000000"/>
              <w:bottom w:val="single" w:sz="4" w:space="0" w:color="000000"/>
              <w:right w:val="single" w:sz="4" w:space="0" w:color="000000"/>
            </w:tcBorders>
          </w:tcPr>
          <w:p w14:paraId="68D595B0" w14:textId="7D685F07" w:rsidR="005304D1" w:rsidRPr="003F73C0" w:rsidRDefault="005304D1" w:rsidP="005304D1">
            <w:pPr>
              <w:spacing w:after="0" w:line="259" w:lineRule="auto"/>
              <w:ind w:left="0" w:right="57" w:firstLine="0"/>
              <w:rPr>
                <w:rFonts w:ascii="Segoe UI Light" w:hAnsi="Segoe UI Light" w:cs="Segoe UI Light"/>
                <w:sz w:val="24"/>
                <w:szCs w:val="24"/>
              </w:rPr>
            </w:pPr>
            <w:r w:rsidRPr="003F73C0">
              <w:rPr>
                <w:rFonts w:ascii="Segoe UI Light" w:hAnsi="Segoe UI Light" w:cs="Segoe UI Light"/>
                <w:sz w:val="24"/>
                <w:szCs w:val="24"/>
                <w:lang w:val="es"/>
              </w:rPr>
              <w:t xml:space="preserve">Salvo disposición en contrario, todas las disputas, reclamaciones o procedimientos entre </w:t>
            </w:r>
            <w:r w:rsidR="00EC7D81" w:rsidRPr="003F73C0">
              <w:rPr>
                <w:rFonts w:ascii="Segoe UI Light" w:hAnsi="Segoe UI Light" w:cs="Segoe UI Light"/>
                <w:sz w:val="24"/>
                <w:szCs w:val="24"/>
                <w:lang w:val="es"/>
              </w:rPr>
              <w:t>las partes en relación</w:t>
            </w:r>
            <w:r w:rsidRPr="003F73C0">
              <w:rPr>
                <w:rFonts w:ascii="Segoe UI Light" w:hAnsi="Segoe UI Light" w:cs="Segoe UI Light"/>
                <w:sz w:val="24"/>
                <w:szCs w:val="24"/>
                <w:lang w:val="es"/>
              </w:rPr>
              <w:t xml:space="preserve"> con la validez, construcción o ejecución de</w:t>
            </w:r>
            <w:r w:rsidR="00EC7D81" w:rsidRPr="003F73C0">
              <w:rPr>
                <w:rFonts w:ascii="Segoe UI Light" w:hAnsi="Segoe UI Light" w:cs="Segoe UI Light"/>
                <w:sz w:val="24"/>
                <w:szCs w:val="24"/>
                <w:lang w:val="es"/>
              </w:rPr>
              <w:t xml:space="preserve"> </w:t>
            </w:r>
            <w:r w:rsidRPr="003F73C0">
              <w:rPr>
                <w:rFonts w:ascii="Segoe UI Light" w:hAnsi="Segoe UI Light" w:cs="Segoe UI Light"/>
                <w:sz w:val="24"/>
                <w:szCs w:val="24"/>
                <w:lang w:val="es"/>
              </w:rPr>
              <w:t>l</w:t>
            </w:r>
            <w:r w:rsidR="00EC7D81" w:rsidRPr="003F73C0">
              <w:rPr>
                <w:rFonts w:ascii="Segoe UI Light" w:hAnsi="Segoe UI Light" w:cs="Segoe UI Light"/>
                <w:sz w:val="24"/>
                <w:szCs w:val="24"/>
                <w:lang w:val="es"/>
              </w:rPr>
              <w:t>os</w:t>
            </w:r>
            <w:r w:rsidRPr="003F73C0">
              <w:rPr>
                <w:rFonts w:ascii="Segoe UI Light" w:hAnsi="Segoe UI Light" w:cs="Segoe UI Light"/>
                <w:sz w:val="24"/>
                <w:szCs w:val="24"/>
                <w:lang w:val="es"/>
              </w:rPr>
              <w:t xml:space="preserve">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 xml:space="preserve"> se resolverán mediante arbitraje. El arbitraje se realizará de acuerdo con el Reglamento de Arbitraje de la CNUDMI vigente en la actualidad. La autoridad nominadora será la Cámara de Comercio Internacional</w:t>
            </w:r>
            <w:r w:rsidR="003F73C0">
              <w:rPr>
                <w:rFonts w:ascii="Segoe UI Light" w:hAnsi="Segoe UI Light" w:cs="Segoe UI Light"/>
                <w:sz w:val="24"/>
                <w:szCs w:val="24"/>
                <w:lang w:val="es"/>
              </w:rPr>
              <w:t xml:space="preserve"> </w:t>
            </w:r>
            <w:r w:rsidRPr="003F73C0">
              <w:rPr>
                <w:rFonts w:ascii="Segoe UI Light" w:hAnsi="Segoe UI Light" w:cs="Segoe UI Light"/>
                <w:b/>
                <w:sz w:val="24"/>
                <w:szCs w:val="24"/>
                <w:lang w:val="es"/>
              </w:rPr>
              <w:t>("ICC</w:t>
            </w:r>
            <w:r w:rsidR="00EC7D81" w:rsidRPr="003F73C0">
              <w:rPr>
                <w:rFonts w:ascii="Segoe UI Light" w:hAnsi="Segoe UI Light" w:cs="Segoe UI Light"/>
                <w:b/>
                <w:sz w:val="24"/>
                <w:szCs w:val="24"/>
                <w:lang w:val="es"/>
              </w:rPr>
              <w:t xml:space="preserve">”) </w:t>
            </w:r>
            <w:r w:rsidR="00EC7D81" w:rsidRPr="003F73C0">
              <w:rPr>
                <w:rFonts w:ascii="Segoe UI Light" w:hAnsi="Segoe UI Light" w:cs="Segoe UI Light"/>
                <w:bCs/>
                <w:sz w:val="24"/>
                <w:szCs w:val="24"/>
                <w:lang w:val="es"/>
              </w:rPr>
              <w:t>actuando</w:t>
            </w:r>
            <w:r w:rsidRPr="003F73C0">
              <w:rPr>
                <w:rFonts w:ascii="Segoe UI Light" w:hAnsi="Segoe UI Light" w:cs="Segoe UI Light"/>
                <w:sz w:val="24"/>
                <w:szCs w:val="24"/>
                <w:lang w:val="es"/>
              </w:rPr>
              <w:t xml:space="preserve"> </w:t>
            </w:r>
            <w:r w:rsidR="00EC7D81" w:rsidRPr="003F73C0">
              <w:rPr>
                <w:rFonts w:ascii="Segoe UI Light" w:hAnsi="Segoe UI Light" w:cs="Segoe UI Light"/>
                <w:sz w:val="24"/>
                <w:szCs w:val="24"/>
                <w:lang w:val="es"/>
              </w:rPr>
              <w:t>de acuerdo</w:t>
            </w:r>
            <w:r w:rsidRPr="003F73C0">
              <w:rPr>
                <w:rFonts w:ascii="Segoe UI Light" w:hAnsi="Segoe UI Light" w:cs="Segoe UI Light"/>
                <w:sz w:val="24"/>
                <w:szCs w:val="24"/>
                <w:lang w:val="es"/>
              </w:rPr>
              <w:t xml:space="preserve"> con las normas adoptadas por la CPI a tal efecto. El lugar del arbitraje será </w:t>
            </w:r>
            <w:r w:rsidR="003F73C0">
              <w:rPr>
                <w:rFonts w:ascii="Segoe UI Light" w:hAnsi="Segoe UI Light" w:cs="Segoe UI Light"/>
                <w:sz w:val="24"/>
                <w:szCs w:val="24"/>
                <w:lang w:val="es"/>
              </w:rPr>
              <w:t>Sussex</w:t>
            </w:r>
            <w:r w:rsidRPr="003F73C0">
              <w:rPr>
                <w:rFonts w:ascii="Segoe UI Light" w:hAnsi="Segoe UI Light" w:cs="Segoe UI Light"/>
                <w:sz w:val="24"/>
                <w:szCs w:val="24"/>
                <w:lang w:val="es"/>
              </w:rPr>
              <w:t xml:space="preserve">, </w:t>
            </w:r>
            <w:r w:rsidR="003F73C0">
              <w:rPr>
                <w:rFonts w:ascii="Segoe UI Light" w:hAnsi="Segoe UI Light" w:cs="Segoe UI Light"/>
                <w:sz w:val="24"/>
                <w:szCs w:val="24"/>
                <w:lang w:val="es"/>
              </w:rPr>
              <w:t>Delaware</w:t>
            </w:r>
            <w:r w:rsidRPr="003F73C0">
              <w:rPr>
                <w:rFonts w:ascii="Segoe UI Light" w:hAnsi="Segoe UI Light" w:cs="Segoe UI Light"/>
                <w:sz w:val="24"/>
                <w:szCs w:val="24"/>
                <w:lang w:val="es"/>
              </w:rPr>
              <w:t xml:space="preserve">, EE.UU. Sólo habrá un árbitro. El laudo será en derecho y no en equidad y será definitivo y vinculante para las partes. Las partes acuerdan irrevocablemente someter todos los asuntos y disputas que surjan en relación con el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 xml:space="preserve"> a arbitraje en </w:t>
            </w:r>
            <w:r w:rsidR="00EC7D81" w:rsidRPr="003F73C0">
              <w:rPr>
                <w:rFonts w:ascii="Segoe UI Light" w:hAnsi="Segoe UI Light" w:cs="Segoe UI Light"/>
                <w:sz w:val="24"/>
                <w:szCs w:val="24"/>
                <w:lang w:val="es"/>
              </w:rPr>
              <w:t>Sussex</w:t>
            </w:r>
            <w:r w:rsidRPr="003F73C0">
              <w:rPr>
                <w:rFonts w:ascii="Segoe UI Light" w:hAnsi="Segoe UI Light" w:cs="Segoe UI Light"/>
                <w:sz w:val="24"/>
                <w:szCs w:val="24"/>
                <w:lang w:val="es"/>
              </w:rPr>
              <w:t xml:space="preserve">, </w:t>
            </w:r>
            <w:r w:rsidR="00EC7D81" w:rsidRPr="003F73C0">
              <w:rPr>
                <w:rFonts w:ascii="Segoe UI Light" w:hAnsi="Segoe UI Light" w:cs="Segoe UI Light"/>
                <w:sz w:val="24"/>
                <w:szCs w:val="24"/>
                <w:lang w:val="es"/>
              </w:rPr>
              <w:t>Delaware</w:t>
            </w:r>
            <w:r w:rsidRPr="003F73C0">
              <w:rPr>
                <w:rFonts w:ascii="Segoe UI Light" w:hAnsi="Segoe UI Light" w:cs="Segoe UI Light"/>
                <w:sz w:val="24"/>
                <w:szCs w:val="24"/>
                <w:lang w:val="es"/>
              </w:rPr>
              <w:t>, EE.UU.</w:t>
            </w:r>
          </w:p>
        </w:tc>
      </w:tr>
    </w:tbl>
    <w:p w14:paraId="7A61731A" w14:textId="77777777" w:rsidR="005304D1" w:rsidRPr="003F73C0" w:rsidRDefault="005304D1" w:rsidP="005304D1">
      <w:pPr>
        <w:spacing w:after="0" w:line="259" w:lineRule="auto"/>
        <w:ind w:left="720" w:firstLine="0"/>
        <w:jc w:val="left"/>
        <w:rPr>
          <w:rFonts w:ascii="Segoe UI Light" w:hAnsi="Segoe UI Light" w:cs="Segoe UI Light"/>
          <w:sz w:val="24"/>
          <w:szCs w:val="24"/>
        </w:rPr>
      </w:pPr>
      <w:r w:rsidRPr="003F73C0">
        <w:rPr>
          <w:rFonts w:ascii="Segoe UI Light" w:hAnsi="Segoe UI Light" w:cs="Segoe UI Light"/>
          <w:sz w:val="24"/>
          <w:szCs w:val="24"/>
        </w:rPr>
        <w:t xml:space="preserve"> </w:t>
      </w:r>
    </w:p>
    <w:tbl>
      <w:tblPr>
        <w:tblStyle w:val="TableGrid"/>
        <w:tblW w:w="8870" w:type="dxa"/>
        <w:tblInd w:w="606" w:type="dxa"/>
        <w:tblCellMar>
          <w:top w:w="71" w:type="dxa"/>
          <w:left w:w="114" w:type="dxa"/>
          <w:right w:w="62" w:type="dxa"/>
        </w:tblCellMar>
        <w:tblLook w:val="04A0" w:firstRow="1" w:lastRow="0" w:firstColumn="1" w:lastColumn="0" w:noHBand="0" w:noVBand="1"/>
      </w:tblPr>
      <w:tblGrid>
        <w:gridCol w:w="8870"/>
      </w:tblGrid>
      <w:tr w:rsidR="005304D1" w:rsidRPr="003F73C0" w14:paraId="44897278" w14:textId="77777777" w:rsidTr="005304D1">
        <w:trPr>
          <w:trHeight w:val="516"/>
        </w:trPr>
        <w:tc>
          <w:tcPr>
            <w:tcW w:w="8870" w:type="dxa"/>
            <w:tcBorders>
              <w:top w:val="nil"/>
              <w:left w:val="nil"/>
              <w:bottom w:val="nil"/>
              <w:right w:val="nil"/>
            </w:tcBorders>
            <w:shd w:val="clear" w:color="auto" w:fill="000000"/>
          </w:tcPr>
          <w:p w14:paraId="07899799" w14:textId="77777777"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b/>
                <w:color w:val="FFFFFF"/>
                <w:sz w:val="24"/>
                <w:szCs w:val="24"/>
                <w:lang w:val="es"/>
              </w:rPr>
              <w:t xml:space="preserve">República de Corea </w:t>
            </w:r>
          </w:p>
        </w:tc>
      </w:tr>
      <w:tr w:rsidR="005304D1" w:rsidRPr="003F73C0" w14:paraId="5D5A15A5" w14:textId="77777777" w:rsidTr="005304D1">
        <w:trPr>
          <w:trHeight w:val="886"/>
        </w:trPr>
        <w:tc>
          <w:tcPr>
            <w:tcW w:w="8870" w:type="dxa"/>
            <w:tcBorders>
              <w:top w:val="nil"/>
              <w:left w:val="single" w:sz="4" w:space="0" w:color="000000"/>
              <w:bottom w:val="single" w:sz="4" w:space="0" w:color="000000"/>
              <w:right w:val="single" w:sz="4" w:space="0" w:color="000000"/>
            </w:tcBorders>
          </w:tcPr>
          <w:p w14:paraId="67F92DAC" w14:textId="61B9A29E" w:rsidR="005304D1" w:rsidRPr="003F73C0" w:rsidRDefault="005304D1" w:rsidP="005304D1">
            <w:pPr>
              <w:spacing w:after="0" w:line="259" w:lineRule="auto"/>
              <w:ind w:left="0" w:right="57" w:firstLine="0"/>
              <w:rPr>
                <w:rFonts w:ascii="Segoe UI Light" w:hAnsi="Segoe UI Light" w:cs="Segoe UI Light"/>
                <w:sz w:val="24"/>
                <w:szCs w:val="24"/>
              </w:rPr>
            </w:pPr>
            <w:r w:rsidRPr="003F73C0">
              <w:rPr>
                <w:rFonts w:ascii="Segoe UI Light" w:hAnsi="Segoe UI Light" w:cs="Segoe UI Light"/>
                <w:sz w:val="24"/>
                <w:szCs w:val="24"/>
                <w:lang w:val="es"/>
              </w:rPr>
              <w:t xml:space="preserve">Salvo disposición en contrario, (i) el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 xml:space="preserve"> se rige y debe interpretarse de acuerdo con las leyes de la República de Corea y (ii) usted da su consentimiento a la jurisdicción y competencia original exclusiva en el Tribunal de Distrito Central de Seúl. </w:t>
            </w:r>
          </w:p>
        </w:tc>
      </w:tr>
    </w:tbl>
    <w:p w14:paraId="63FD45F0" w14:textId="77777777" w:rsidR="005304D1" w:rsidRPr="003F73C0" w:rsidRDefault="005304D1" w:rsidP="005304D1">
      <w:pPr>
        <w:spacing w:after="0" w:line="259" w:lineRule="auto"/>
        <w:ind w:left="720" w:firstLine="0"/>
        <w:jc w:val="left"/>
        <w:rPr>
          <w:rFonts w:ascii="Segoe UI Light" w:hAnsi="Segoe UI Light" w:cs="Segoe UI Light"/>
          <w:sz w:val="24"/>
          <w:szCs w:val="24"/>
        </w:rPr>
      </w:pPr>
      <w:r w:rsidRPr="003F73C0">
        <w:rPr>
          <w:rFonts w:ascii="Segoe UI Light" w:hAnsi="Segoe UI Light" w:cs="Segoe UI Light"/>
          <w:sz w:val="24"/>
          <w:szCs w:val="24"/>
        </w:rPr>
        <w:t xml:space="preserve"> </w:t>
      </w:r>
    </w:p>
    <w:tbl>
      <w:tblPr>
        <w:tblStyle w:val="TableGrid"/>
        <w:tblW w:w="8870" w:type="dxa"/>
        <w:tblInd w:w="606" w:type="dxa"/>
        <w:tblCellMar>
          <w:top w:w="71" w:type="dxa"/>
          <w:left w:w="114" w:type="dxa"/>
          <w:right w:w="62" w:type="dxa"/>
        </w:tblCellMar>
        <w:tblLook w:val="04A0" w:firstRow="1" w:lastRow="0" w:firstColumn="1" w:lastColumn="0" w:noHBand="0" w:noVBand="1"/>
      </w:tblPr>
      <w:tblGrid>
        <w:gridCol w:w="8870"/>
      </w:tblGrid>
      <w:tr w:rsidR="005304D1" w:rsidRPr="003F73C0" w14:paraId="35CF5EDE" w14:textId="77777777" w:rsidTr="005304D1">
        <w:trPr>
          <w:trHeight w:val="514"/>
        </w:trPr>
        <w:tc>
          <w:tcPr>
            <w:tcW w:w="8870" w:type="dxa"/>
            <w:tcBorders>
              <w:top w:val="nil"/>
              <w:left w:val="nil"/>
              <w:bottom w:val="nil"/>
              <w:right w:val="nil"/>
            </w:tcBorders>
            <w:shd w:val="clear" w:color="auto" w:fill="000000"/>
          </w:tcPr>
          <w:p w14:paraId="0670F0B7" w14:textId="77777777"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b/>
                <w:color w:val="FFFFFF"/>
                <w:sz w:val="24"/>
                <w:szCs w:val="24"/>
                <w:lang w:val="es"/>
              </w:rPr>
              <w:t xml:space="preserve">Taiwán </w:t>
            </w:r>
          </w:p>
        </w:tc>
      </w:tr>
      <w:tr w:rsidR="005304D1" w:rsidRPr="003F73C0" w14:paraId="4D29857B" w14:textId="77777777" w:rsidTr="005304D1">
        <w:trPr>
          <w:trHeight w:val="1174"/>
        </w:trPr>
        <w:tc>
          <w:tcPr>
            <w:tcW w:w="8870" w:type="dxa"/>
            <w:tcBorders>
              <w:top w:val="nil"/>
              <w:left w:val="single" w:sz="4" w:space="0" w:color="000000"/>
              <w:bottom w:val="single" w:sz="4" w:space="0" w:color="000000"/>
              <w:right w:val="single" w:sz="4" w:space="0" w:color="000000"/>
            </w:tcBorders>
          </w:tcPr>
          <w:p w14:paraId="6F7741F0" w14:textId="06853FC2" w:rsidR="005304D1" w:rsidRPr="003F73C0" w:rsidRDefault="005304D1" w:rsidP="005304D1">
            <w:pPr>
              <w:spacing w:after="0" w:line="259" w:lineRule="auto"/>
              <w:ind w:left="0" w:right="56" w:firstLine="0"/>
              <w:rPr>
                <w:rFonts w:ascii="Segoe UI Light" w:hAnsi="Segoe UI Light" w:cs="Segoe UI Light"/>
                <w:sz w:val="24"/>
                <w:szCs w:val="24"/>
              </w:rPr>
            </w:pPr>
            <w:r w:rsidRPr="003F73C0">
              <w:rPr>
                <w:rFonts w:ascii="Segoe UI Light" w:hAnsi="Segoe UI Light" w:cs="Segoe UI Light"/>
                <w:sz w:val="24"/>
                <w:szCs w:val="24"/>
                <w:lang w:val="es"/>
              </w:rPr>
              <w:lastRenderedPageBreak/>
              <w:t xml:space="preserve">Salvo disposición en contrario, (i) el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 xml:space="preserve"> se rige y debe interpretarse de acuerdo con las leyes de la República de China, Taiwán y (ii) usted </w:t>
            </w:r>
            <w:r w:rsidR="00EC7D81" w:rsidRPr="003F73C0">
              <w:rPr>
                <w:rFonts w:ascii="Segoe UI Light" w:hAnsi="Segoe UI Light" w:cs="Segoe UI Light"/>
                <w:sz w:val="24"/>
                <w:szCs w:val="24"/>
                <w:lang w:val="es"/>
              </w:rPr>
              <w:t>y Fenix</w:t>
            </w:r>
            <w:r w:rsidRPr="003F73C0">
              <w:rPr>
                <w:rFonts w:ascii="Segoe UI Light" w:hAnsi="Segoe UI Light" w:cs="Segoe UI Light"/>
                <w:sz w:val="24"/>
                <w:szCs w:val="24"/>
                <w:lang w:val="es"/>
              </w:rPr>
              <w:t xml:space="preserve"> Alliance por la presente designan al Tribunal de Distrito de </w:t>
            </w:r>
            <w:r w:rsidR="00EC7D81" w:rsidRPr="003F73C0">
              <w:rPr>
                <w:rFonts w:ascii="Segoe UI Light" w:hAnsi="Segoe UI Light" w:cs="Segoe UI Light"/>
                <w:sz w:val="24"/>
                <w:szCs w:val="24"/>
                <w:lang w:val="es"/>
              </w:rPr>
              <w:t>Taipéi</w:t>
            </w:r>
            <w:r w:rsidRPr="003F73C0">
              <w:rPr>
                <w:rFonts w:ascii="Segoe UI Light" w:hAnsi="Segoe UI Light" w:cs="Segoe UI Light"/>
                <w:sz w:val="24"/>
                <w:szCs w:val="24"/>
                <w:lang w:val="es"/>
              </w:rPr>
              <w:t xml:space="preserve"> como el tribunal de primera instancia que tiene jurisdicción sobre cualquier disputa que surja de o en relación con el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w:t>
            </w:r>
          </w:p>
        </w:tc>
      </w:tr>
    </w:tbl>
    <w:p w14:paraId="4CF28BBC" w14:textId="0D003D2A" w:rsidR="005304D1" w:rsidRPr="003F73C0" w:rsidRDefault="005304D1" w:rsidP="005304D1">
      <w:pPr>
        <w:numPr>
          <w:ilvl w:val="0"/>
          <w:numId w:val="1"/>
        </w:numPr>
        <w:spacing w:after="200"/>
        <w:ind w:hanging="360"/>
        <w:rPr>
          <w:rFonts w:ascii="Segoe UI Light" w:hAnsi="Segoe UI Light" w:cs="Segoe UI Light"/>
          <w:sz w:val="24"/>
          <w:szCs w:val="24"/>
        </w:rPr>
      </w:pPr>
      <w:r w:rsidRPr="003F73C0">
        <w:rPr>
          <w:rFonts w:ascii="Segoe UI Light" w:hAnsi="Segoe UI Light" w:cs="Segoe UI Light"/>
          <w:sz w:val="24"/>
          <w:szCs w:val="24"/>
          <w:lang w:val="es"/>
        </w:rPr>
        <w:t>A los efectos de la sección 1</w:t>
      </w:r>
      <w:r w:rsidR="003F73C0">
        <w:rPr>
          <w:rFonts w:ascii="Segoe UI Light" w:hAnsi="Segoe UI Light" w:cs="Segoe UI Light"/>
          <w:sz w:val="24"/>
          <w:szCs w:val="24"/>
          <w:lang w:val="es"/>
        </w:rPr>
        <w:t>.</w:t>
      </w:r>
      <w:r w:rsidRPr="003F73C0">
        <w:rPr>
          <w:rFonts w:ascii="Segoe UI Light" w:hAnsi="Segoe UI Light" w:cs="Segoe UI Light"/>
          <w:sz w:val="24"/>
          <w:szCs w:val="24"/>
          <w:lang w:val="es"/>
        </w:rPr>
        <w:t xml:space="preserve">b, se entenderá por: </w:t>
      </w:r>
    </w:p>
    <w:p w14:paraId="18466747" w14:textId="04A3B2C6" w:rsidR="005304D1" w:rsidRDefault="005304D1" w:rsidP="00EC7D81">
      <w:pPr>
        <w:ind w:left="715"/>
        <w:rPr>
          <w:rFonts w:ascii="Segoe UI Light" w:hAnsi="Segoe UI Light" w:cs="Segoe UI Light"/>
          <w:sz w:val="24"/>
          <w:szCs w:val="24"/>
          <w:lang w:val="es"/>
        </w:rPr>
      </w:pPr>
      <w:r w:rsidRPr="003F73C0">
        <w:rPr>
          <w:rFonts w:ascii="Segoe UI Light" w:hAnsi="Segoe UI Light" w:cs="Segoe UI Light"/>
          <w:sz w:val="24"/>
          <w:szCs w:val="24"/>
          <w:lang w:val="es"/>
        </w:rPr>
        <w:t>"</w:t>
      </w:r>
      <w:r w:rsidRPr="003F73C0">
        <w:rPr>
          <w:rFonts w:ascii="Segoe UI Light" w:hAnsi="Segoe UI Light" w:cs="Segoe UI Light"/>
          <w:b/>
          <w:sz w:val="24"/>
          <w:szCs w:val="24"/>
          <w:lang w:val="es"/>
        </w:rPr>
        <w:t>EMEA</w:t>
      </w:r>
      <w:r w:rsidRPr="003F73C0">
        <w:rPr>
          <w:rFonts w:ascii="Segoe UI Light" w:hAnsi="Segoe UI Light" w:cs="Segoe UI Light"/>
          <w:sz w:val="24"/>
          <w:szCs w:val="24"/>
          <w:lang w:val="es"/>
        </w:rPr>
        <w:t xml:space="preserve">" significa Afganistán, Albania, Argelia, Andorra, Angola, Armenia, Austria, Azerbaiyán, </w:t>
      </w:r>
      <w:proofErr w:type="spellStart"/>
      <w:r w:rsidRPr="003F73C0">
        <w:rPr>
          <w:rFonts w:ascii="Segoe UI Light" w:hAnsi="Segoe UI Light" w:cs="Segoe UI Light"/>
          <w:sz w:val="24"/>
          <w:szCs w:val="24"/>
          <w:lang w:val="es"/>
        </w:rPr>
        <w:t>Bahrein</w:t>
      </w:r>
      <w:proofErr w:type="spellEnd"/>
      <w:r w:rsidRPr="003F73C0">
        <w:rPr>
          <w:rFonts w:ascii="Segoe UI Light" w:hAnsi="Segoe UI Light" w:cs="Segoe UI Light"/>
          <w:sz w:val="24"/>
          <w:szCs w:val="24"/>
          <w:lang w:val="es"/>
        </w:rPr>
        <w:t xml:space="preserve">, Bielorrusia, Bélgica, </w:t>
      </w:r>
      <w:proofErr w:type="spellStart"/>
      <w:r w:rsidRPr="003F73C0">
        <w:rPr>
          <w:rFonts w:ascii="Segoe UI Light" w:hAnsi="Segoe UI Light" w:cs="Segoe UI Light"/>
          <w:sz w:val="24"/>
          <w:szCs w:val="24"/>
          <w:lang w:val="es"/>
        </w:rPr>
        <w:t>Benin</w:t>
      </w:r>
      <w:proofErr w:type="spellEnd"/>
      <w:r w:rsidRPr="003F73C0">
        <w:rPr>
          <w:rFonts w:ascii="Segoe UI Light" w:hAnsi="Segoe UI Light" w:cs="Segoe UI Light"/>
          <w:sz w:val="24"/>
          <w:szCs w:val="24"/>
          <w:lang w:val="es"/>
        </w:rPr>
        <w:t xml:space="preserve">, Bosnia y Herzegovina, Botswana, Isla Bouvet, Bulgaria, Burkina Faso, Burundi, Camerún, República Centroafricana, Chad, Comoras, Congo, Costa de Marfil, Croacia, Chipre, República Checa, República Democrática de Santo Tomé y Príncipe, Dinamarca, </w:t>
      </w:r>
      <w:proofErr w:type="spellStart"/>
      <w:r w:rsidRPr="003F73C0">
        <w:rPr>
          <w:rFonts w:ascii="Segoe UI Light" w:hAnsi="Segoe UI Light" w:cs="Segoe UI Light"/>
          <w:sz w:val="24"/>
          <w:szCs w:val="24"/>
          <w:lang w:val="es"/>
        </w:rPr>
        <w:t>Djibouti</w:t>
      </w:r>
      <w:proofErr w:type="spellEnd"/>
      <w:r w:rsidRPr="003F73C0">
        <w:rPr>
          <w:rFonts w:ascii="Segoe UI Light" w:hAnsi="Segoe UI Light" w:cs="Segoe UI Light"/>
          <w:sz w:val="24"/>
          <w:szCs w:val="24"/>
          <w:lang w:val="es"/>
        </w:rPr>
        <w:t xml:space="preserve">, Egipto, Estonia, Etiopía, Islas Feroe, Finlandia, Francia, Gabón, Gambia, Georgia, Alemania, Ghana, Gibraltar, Grecia, Groenlandia, Guadalupe, Guinea-Bissau, Hungría, Islandia, Irlanda, Israel, Italia, Jordania, Kazajstán, Kenia, Kosovo, Kuwait, Kirguistán, Letonia, Líbano, </w:t>
      </w:r>
      <w:proofErr w:type="spellStart"/>
      <w:r w:rsidRPr="003F73C0">
        <w:rPr>
          <w:rFonts w:ascii="Segoe UI Light" w:hAnsi="Segoe UI Light" w:cs="Segoe UI Light"/>
          <w:sz w:val="24"/>
          <w:szCs w:val="24"/>
          <w:lang w:val="es"/>
        </w:rPr>
        <w:t>Lesotho</w:t>
      </w:r>
      <w:proofErr w:type="spellEnd"/>
      <w:r w:rsidRPr="003F73C0">
        <w:rPr>
          <w:rFonts w:ascii="Segoe UI Light" w:hAnsi="Segoe UI Light" w:cs="Segoe UI Light"/>
          <w:sz w:val="24"/>
          <w:szCs w:val="24"/>
          <w:lang w:val="es"/>
        </w:rPr>
        <w:t xml:space="preserve">, Liberia, Liechtenstein, Lituania, Luxemburgo, Libia, Macedonia, Madagascar, Malawi, Malí, Malta, Mauritania, </w:t>
      </w:r>
      <w:r w:rsidR="003F73C0" w:rsidRPr="00CB4ABF">
        <w:rPr>
          <w:rFonts w:ascii="Segoe UI Light" w:hAnsi="Segoe UI Light" w:cs="Segoe UI Light"/>
          <w:sz w:val="24"/>
          <w:szCs w:val="24"/>
        </w:rPr>
        <w:t>Mauritius</w:t>
      </w:r>
      <w:r w:rsidRPr="003F73C0">
        <w:rPr>
          <w:rFonts w:ascii="Segoe UI Light" w:hAnsi="Segoe UI Light" w:cs="Segoe UI Light"/>
          <w:sz w:val="24"/>
          <w:szCs w:val="24"/>
          <w:lang w:val="es"/>
        </w:rPr>
        <w:t xml:space="preserve">, Mozambique, Namibia, los Países Bajos, Nueva Caledonia, Níger, Nigeria, Noruega, Omán, Pakistán, Polonia, Portugal, Qatar, República de Cabo Verde, República de Guinea Ecuatorial, República de Guinea, República del Senegal, Reunión, Rumania, Federación de Rusia, República </w:t>
      </w:r>
      <w:proofErr w:type="spellStart"/>
      <w:r w:rsidRPr="003F73C0">
        <w:rPr>
          <w:rFonts w:ascii="Segoe UI Light" w:hAnsi="Segoe UI Light" w:cs="Segoe UI Light"/>
          <w:sz w:val="24"/>
          <w:szCs w:val="24"/>
          <w:lang w:val="es"/>
        </w:rPr>
        <w:t>Rwandesa</w:t>
      </w:r>
      <w:proofErr w:type="spellEnd"/>
      <w:r w:rsidRPr="003F73C0">
        <w:rPr>
          <w:rFonts w:ascii="Segoe UI Light" w:hAnsi="Segoe UI Light" w:cs="Segoe UI Light"/>
          <w:sz w:val="24"/>
          <w:szCs w:val="24"/>
          <w:lang w:val="es"/>
        </w:rPr>
        <w:t xml:space="preserve">, Santa Helena, San Marino, Arabia Saudita, Serbia, Seychelles, Sierra Leona, Eslovaquia, Eslovenia, Somalia, Sudáfrica, España, Svalbard y Jan Mayen, </w:t>
      </w:r>
      <w:proofErr w:type="spellStart"/>
      <w:r w:rsidRPr="003F73C0">
        <w:rPr>
          <w:rFonts w:ascii="Segoe UI Light" w:hAnsi="Segoe UI Light" w:cs="Segoe UI Light"/>
          <w:sz w:val="24"/>
          <w:szCs w:val="24"/>
          <w:lang w:val="es"/>
        </w:rPr>
        <w:t>Swazilandia</w:t>
      </w:r>
      <w:proofErr w:type="spellEnd"/>
      <w:r w:rsidRPr="003F73C0">
        <w:rPr>
          <w:rFonts w:ascii="Segoe UI Light" w:hAnsi="Segoe UI Light" w:cs="Segoe UI Light"/>
          <w:sz w:val="24"/>
          <w:szCs w:val="24"/>
          <w:lang w:val="es"/>
        </w:rPr>
        <w:t xml:space="preserve">, Suecia, Suiza, Tayikistán, Tanzania, Togo, Túnez, Turquía, Turkmenistán, Uganda, Ucrania, Emiratos </w:t>
      </w:r>
      <w:proofErr w:type="spellStart"/>
      <w:r w:rsidRPr="003F73C0">
        <w:rPr>
          <w:rFonts w:ascii="Segoe UI Light" w:hAnsi="Segoe UI Light" w:cs="Segoe UI Light"/>
          <w:sz w:val="24"/>
          <w:szCs w:val="24"/>
          <w:lang w:val="es"/>
        </w:rPr>
        <w:t>Arabes</w:t>
      </w:r>
      <w:proofErr w:type="spellEnd"/>
      <w:r w:rsidRPr="003F73C0">
        <w:rPr>
          <w:rFonts w:ascii="Segoe UI Light" w:hAnsi="Segoe UI Light" w:cs="Segoe UI Light"/>
          <w:sz w:val="24"/>
          <w:szCs w:val="24"/>
          <w:lang w:val="es"/>
        </w:rPr>
        <w:t xml:space="preserve"> Unidos, Reino Unido, Uzbekistán, Estado de la Ciudad del Vaticano, Yemen, Zaire, Zambia o </w:t>
      </w:r>
      <w:proofErr w:type="spellStart"/>
      <w:r w:rsidRPr="003F73C0">
        <w:rPr>
          <w:rFonts w:ascii="Segoe UI Light" w:hAnsi="Segoe UI Light" w:cs="Segoe UI Light"/>
          <w:sz w:val="24"/>
          <w:szCs w:val="24"/>
          <w:lang w:val="es"/>
        </w:rPr>
        <w:t>Zimbabwe</w:t>
      </w:r>
      <w:proofErr w:type="spellEnd"/>
      <w:r w:rsidR="003F73C0">
        <w:rPr>
          <w:rFonts w:ascii="Segoe UI Light" w:hAnsi="Segoe UI Light" w:cs="Segoe UI Light"/>
          <w:sz w:val="24"/>
          <w:szCs w:val="24"/>
          <w:lang w:val="es"/>
        </w:rPr>
        <w:t>.</w:t>
      </w:r>
    </w:p>
    <w:p w14:paraId="170E1758" w14:textId="77777777" w:rsidR="007A458B" w:rsidRPr="003F73C0" w:rsidRDefault="007A458B" w:rsidP="00EC7D81">
      <w:pPr>
        <w:ind w:left="715"/>
        <w:rPr>
          <w:rFonts w:ascii="Segoe UI Light" w:hAnsi="Segoe UI Light" w:cs="Segoe UI Light"/>
          <w:sz w:val="24"/>
          <w:szCs w:val="24"/>
        </w:rPr>
      </w:pPr>
    </w:p>
    <w:p w14:paraId="5FF4C9E9" w14:textId="47D3111F" w:rsidR="005304D1" w:rsidRPr="003F73C0" w:rsidRDefault="005304D1" w:rsidP="005304D1">
      <w:pPr>
        <w:spacing w:after="194" w:line="259" w:lineRule="auto"/>
        <w:ind w:left="-5"/>
        <w:jc w:val="left"/>
        <w:rPr>
          <w:rFonts w:ascii="Segoe UI Light" w:hAnsi="Segoe UI Light" w:cs="Segoe UI Light"/>
          <w:sz w:val="24"/>
          <w:szCs w:val="24"/>
        </w:rPr>
      </w:pPr>
      <w:r w:rsidRPr="003F73C0">
        <w:rPr>
          <w:rFonts w:ascii="Segoe UI Light" w:hAnsi="Segoe UI Light" w:cs="Segoe UI Light"/>
          <w:b/>
          <w:sz w:val="24"/>
          <w:szCs w:val="24"/>
          <w:lang w:val="es"/>
        </w:rPr>
        <w:t>2. Entidad Contratante de</w:t>
      </w:r>
      <w:r w:rsidRPr="003F73C0">
        <w:rPr>
          <w:rFonts w:ascii="Segoe UI Light" w:hAnsi="Segoe UI Light" w:cs="Segoe UI Light"/>
          <w:sz w:val="24"/>
          <w:szCs w:val="24"/>
          <w:lang w:val="es"/>
        </w:rPr>
        <w:t xml:space="preserve"> </w:t>
      </w:r>
      <w:r w:rsidR="00EC7D81" w:rsidRPr="003F73C0">
        <w:rPr>
          <w:rFonts w:ascii="Segoe UI Light" w:hAnsi="Segoe UI Light" w:cs="Segoe UI Light"/>
          <w:b/>
          <w:bCs/>
          <w:sz w:val="24"/>
          <w:szCs w:val="24"/>
          <w:lang w:val="es"/>
        </w:rPr>
        <w:t>Fenix Alliance</w:t>
      </w:r>
    </w:p>
    <w:p w14:paraId="4CF2D58C" w14:textId="2418B790" w:rsidR="005304D1" w:rsidRPr="003F73C0" w:rsidRDefault="005304D1" w:rsidP="00EC7D81">
      <w:pPr>
        <w:numPr>
          <w:ilvl w:val="0"/>
          <w:numId w:val="2"/>
        </w:numPr>
        <w:spacing w:after="234" w:line="260" w:lineRule="auto"/>
        <w:ind w:hanging="360"/>
        <w:rPr>
          <w:rFonts w:ascii="Segoe UI Light" w:hAnsi="Segoe UI Light" w:cs="Segoe UI Light"/>
          <w:sz w:val="24"/>
          <w:szCs w:val="24"/>
        </w:rPr>
      </w:pPr>
      <w:r w:rsidRPr="003F73C0">
        <w:rPr>
          <w:rFonts w:ascii="Segoe UI Light" w:hAnsi="Segoe UI Light" w:cs="Segoe UI Light"/>
          <w:sz w:val="24"/>
          <w:szCs w:val="24"/>
          <w:lang w:val="es"/>
        </w:rPr>
        <w:t xml:space="preserve">Salvo disposición en contrario en la Sección 2(b), la entidad contratante de Fenix Alliance será Fenix Alliance </w:t>
      </w:r>
      <w:proofErr w:type="spellStart"/>
      <w:r w:rsidRPr="003F73C0">
        <w:rPr>
          <w:rFonts w:ascii="Segoe UI Light" w:hAnsi="Segoe UI Light" w:cs="Segoe UI Light"/>
          <w:sz w:val="24"/>
          <w:szCs w:val="24"/>
          <w:lang w:val="es"/>
        </w:rPr>
        <w:t>Inc</w:t>
      </w:r>
      <w:proofErr w:type="spellEnd"/>
      <w:r w:rsidRPr="003F73C0">
        <w:rPr>
          <w:rFonts w:ascii="Segoe UI Light" w:hAnsi="Segoe UI Light" w:cs="Segoe UI Light"/>
          <w:sz w:val="24"/>
          <w:szCs w:val="24"/>
          <w:lang w:val="es"/>
        </w:rPr>
        <w:t>, Americas Operations Center ubicado en 16192 Coastal Highway, Lewes, Delaware, 19958. Estados Unidos.</w:t>
      </w:r>
    </w:p>
    <w:p w14:paraId="6F51E136" w14:textId="5751E645" w:rsidR="00EC7D81" w:rsidRPr="007A458B" w:rsidRDefault="005304D1" w:rsidP="00EC7D81">
      <w:pPr>
        <w:numPr>
          <w:ilvl w:val="0"/>
          <w:numId w:val="2"/>
        </w:numPr>
        <w:ind w:hanging="360"/>
        <w:rPr>
          <w:rFonts w:ascii="Segoe UI Light" w:hAnsi="Segoe UI Light" w:cs="Segoe UI Light"/>
          <w:sz w:val="24"/>
          <w:szCs w:val="24"/>
        </w:rPr>
      </w:pPr>
      <w:r w:rsidRPr="003F73C0">
        <w:rPr>
          <w:rFonts w:ascii="Segoe UI Light" w:hAnsi="Segoe UI Light" w:cs="Segoe UI Light"/>
          <w:sz w:val="24"/>
          <w:szCs w:val="24"/>
          <w:lang w:val="es"/>
        </w:rPr>
        <w:t xml:space="preserve">La entidad contratante de Fénix Alliance para el </w:t>
      </w:r>
      <w:r w:rsidR="00EC7D81" w:rsidRPr="003F73C0">
        <w:rPr>
          <w:rFonts w:ascii="Segoe UI Light" w:hAnsi="Segoe UI Light" w:cs="Segoe UI Light"/>
          <w:sz w:val="24"/>
          <w:szCs w:val="24"/>
          <w:lang w:val="es"/>
        </w:rPr>
        <w:t>Términos y Condiciones del Programa Alliance Trusted Advisor</w:t>
      </w:r>
      <w:r w:rsidRPr="003F73C0">
        <w:rPr>
          <w:rFonts w:ascii="Segoe UI Light" w:hAnsi="Segoe UI Light" w:cs="Segoe UI Light"/>
          <w:sz w:val="24"/>
          <w:szCs w:val="24"/>
          <w:lang w:val="es"/>
        </w:rPr>
        <w:t xml:space="preserve"> es determinada por el país o región donde se encuentra su oficina principal como se establece a continuación:</w:t>
      </w:r>
    </w:p>
    <w:p w14:paraId="7BFBC439" w14:textId="77777777" w:rsidR="007A458B" w:rsidRPr="003F73C0" w:rsidRDefault="007A458B" w:rsidP="007A458B">
      <w:pPr>
        <w:ind w:left="720" w:firstLine="0"/>
        <w:rPr>
          <w:rFonts w:ascii="Segoe UI Light" w:hAnsi="Segoe UI Light" w:cs="Segoe UI Light"/>
          <w:sz w:val="24"/>
          <w:szCs w:val="24"/>
        </w:rPr>
      </w:pPr>
    </w:p>
    <w:p w14:paraId="1AF736E6" w14:textId="4AE8C202" w:rsidR="005304D1" w:rsidRPr="003F73C0" w:rsidRDefault="005304D1" w:rsidP="00EC7D81">
      <w:pPr>
        <w:ind w:left="720" w:firstLine="0"/>
        <w:rPr>
          <w:rFonts w:ascii="Segoe UI Light" w:hAnsi="Segoe UI Light" w:cs="Segoe UI Light"/>
          <w:sz w:val="24"/>
          <w:szCs w:val="24"/>
        </w:rPr>
      </w:pPr>
    </w:p>
    <w:tbl>
      <w:tblPr>
        <w:tblStyle w:val="TableGrid"/>
        <w:tblW w:w="8731" w:type="dxa"/>
        <w:tblInd w:w="719" w:type="dxa"/>
        <w:tblCellMar>
          <w:top w:w="75" w:type="dxa"/>
          <w:left w:w="109" w:type="dxa"/>
          <w:right w:w="115" w:type="dxa"/>
        </w:tblCellMar>
        <w:tblLook w:val="04A0" w:firstRow="1" w:lastRow="0" w:firstColumn="1" w:lastColumn="0" w:noHBand="0" w:noVBand="1"/>
      </w:tblPr>
      <w:tblGrid>
        <w:gridCol w:w="8731"/>
      </w:tblGrid>
      <w:tr w:rsidR="005304D1" w:rsidRPr="003F73C0" w14:paraId="78867BAA" w14:textId="77777777" w:rsidTr="005304D1">
        <w:trPr>
          <w:trHeight w:val="274"/>
        </w:trPr>
        <w:tc>
          <w:tcPr>
            <w:tcW w:w="8731" w:type="dxa"/>
            <w:tcBorders>
              <w:top w:val="single" w:sz="4" w:space="0" w:color="000000"/>
              <w:left w:val="nil"/>
              <w:bottom w:val="single" w:sz="4" w:space="0" w:color="000000"/>
              <w:right w:val="single" w:sz="4" w:space="0" w:color="000000"/>
            </w:tcBorders>
            <w:shd w:val="clear" w:color="auto" w:fill="000000"/>
          </w:tcPr>
          <w:p w14:paraId="1901E3A2" w14:textId="77777777"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b/>
                <w:color w:val="FFFFFF"/>
                <w:sz w:val="24"/>
                <w:szCs w:val="24"/>
                <w:lang w:val="es"/>
              </w:rPr>
              <w:t xml:space="preserve">América del Norte (como se define a continuación) </w:t>
            </w:r>
          </w:p>
        </w:tc>
      </w:tr>
      <w:tr w:rsidR="005304D1" w:rsidRPr="003F73C0" w14:paraId="58B64E39" w14:textId="77777777" w:rsidTr="007A458B">
        <w:trPr>
          <w:trHeight w:val="455"/>
        </w:trPr>
        <w:tc>
          <w:tcPr>
            <w:tcW w:w="8731" w:type="dxa"/>
            <w:tcBorders>
              <w:top w:val="single" w:sz="4" w:space="0" w:color="000000"/>
              <w:left w:val="single" w:sz="4" w:space="0" w:color="000000"/>
              <w:bottom w:val="single" w:sz="4" w:space="0" w:color="000000"/>
              <w:right w:val="single" w:sz="4" w:space="0" w:color="000000"/>
            </w:tcBorders>
          </w:tcPr>
          <w:p w14:paraId="5CAFA0BD" w14:textId="2E5DDBFD"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sz w:val="24"/>
                <w:szCs w:val="24"/>
                <w:lang w:val="es"/>
              </w:rPr>
              <w:t xml:space="preserve">Fenix Alliance </w:t>
            </w:r>
            <w:proofErr w:type="spellStart"/>
            <w:r w:rsidRPr="003F73C0">
              <w:rPr>
                <w:rFonts w:ascii="Segoe UI Light" w:hAnsi="Segoe UI Light" w:cs="Segoe UI Light"/>
                <w:sz w:val="24"/>
                <w:szCs w:val="24"/>
                <w:lang w:val="es"/>
              </w:rPr>
              <w:t>Inc</w:t>
            </w:r>
            <w:proofErr w:type="spellEnd"/>
            <w:r w:rsidRPr="003F73C0">
              <w:rPr>
                <w:rFonts w:ascii="Segoe UI Light" w:hAnsi="Segoe UI Light" w:cs="Segoe UI Light"/>
                <w:sz w:val="24"/>
                <w:szCs w:val="24"/>
                <w:lang w:val="es"/>
              </w:rPr>
              <w:t xml:space="preserve">, Centro de Operaciones para las Américas </w:t>
            </w:r>
          </w:p>
        </w:tc>
      </w:tr>
    </w:tbl>
    <w:p w14:paraId="64E3B932" w14:textId="77777777"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sz w:val="24"/>
          <w:szCs w:val="24"/>
        </w:rPr>
        <w:t xml:space="preserve"> </w:t>
      </w:r>
    </w:p>
    <w:tbl>
      <w:tblPr>
        <w:tblStyle w:val="TableGrid"/>
        <w:tblW w:w="8731" w:type="dxa"/>
        <w:tblInd w:w="719" w:type="dxa"/>
        <w:tblCellMar>
          <w:top w:w="75" w:type="dxa"/>
          <w:left w:w="109" w:type="dxa"/>
          <w:right w:w="115" w:type="dxa"/>
        </w:tblCellMar>
        <w:tblLook w:val="04A0" w:firstRow="1" w:lastRow="0" w:firstColumn="1" w:lastColumn="0" w:noHBand="0" w:noVBand="1"/>
      </w:tblPr>
      <w:tblGrid>
        <w:gridCol w:w="8731"/>
      </w:tblGrid>
      <w:tr w:rsidR="005304D1" w:rsidRPr="003F73C0" w14:paraId="56DBEEC3" w14:textId="77777777" w:rsidTr="005304D1">
        <w:trPr>
          <w:trHeight w:val="274"/>
        </w:trPr>
        <w:tc>
          <w:tcPr>
            <w:tcW w:w="8731" w:type="dxa"/>
            <w:tcBorders>
              <w:top w:val="single" w:sz="4" w:space="0" w:color="000000"/>
              <w:left w:val="nil"/>
              <w:bottom w:val="single" w:sz="4" w:space="0" w:color="000000"/>
              <w:right w:val="single" w:sz="4" w:space="0" w:color="000000"/>
            </w:tcBorders>
            <w:shd w:val="clear" w:color="auto" w:fill="000000"/>
          </w:tcPr>
          <w:p w14:paraId="0F44A0DD" w14:textId="77777777"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b/>
                <w:color w:val="FFFFFF"/>
                <w:sz w:val="24"/>
                <w:szCs w:val="24"/>
                <w:lang w:val="es"/>
              </w:rPr>
              <w:t xml:space="preserve"> India </w:t>
            </w:r>
          </w:p>
        </w:tc>
      </w:tr>
      <w:tr w:rsidR="005304D1" w:rsidRPr="003F73C0" w14:paraId="52158646" w14:textId="77777777" w:rsidTr="007A458B">
        <w:trPr>
          <w:trHeight w:val="433"/>
        </w:trPr>
        <w:tc>
          <w:tcPr>
            <w:tcW w:w="8731" w:type="dxa"/>
            <w:tcBorders>
              <w:top w:val="single" w:sz="4" w:space="0" w:color="000000"/>
              <w:left w:val="single" w:sz="4" w:space="0" w:color="000000"/>
              <w:bottom w:val="single" w:sz="4" w:space="0" w:color="000000"/>
              <w:right w:val="single" w:sz="4" w:space="0" w:color="000000"/>
            </w:tcBorders>
          </w:tcPr>
          <w:p w14:paraId="60E87D23" w14:textId="79332264"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sz w:val="24"/>
                <w:szCs w:val="24"/>
                <w:lang w:val="es"/>
              </w:rPr>
              <w:t xml:space="preserve">Fenix Alliance Corporation (India) </w:t>
            </w:r>
            <w:proofErr w:type="spellStart"/>
            <w:r w:rsidRPr="003F73C0">
              <w:rPr>
                <w:rFonts w:ascii="Segoe UI Light" w:hAnsi="Segoe UI Light" w:cs="Segoe UI Light"/>
                <w:sz w:val="24"/>
                <w:szCs w:val="24"/>
                <w:lang w:val="es"/>
              </w:rPr>
              <w:t>Pvt</w:t>
            </w:r>
            <w:proofErr w:type="spellEnd"/>
            <w:r w:rsidRPr="003F73C0">
              <w:rPr>
                <w:rFonts w:ascii="Segoe UI Light" w:hAnsi="Segoe UI Light" w:cs="Segoe UI Light"/>
                <w:sz w:val="24"/>
                <w:szCs w:val="24"/>
                <w:lang w:val="es"/>
              </w:rPr>
              <w:t xml:space="preserve">. Ltd. </w:t>
            </w:r>
          </w:p>
        </w:tc>
      </w:tr>
    </w:tbl>
    <w:p w14:paraId="1ECD0E1D" w14:textId="77777777" w:rsidR="005304D1" w:rsidRPr="003F73C0" w:rsidRDefault="005304D1" w:rsidP="005304D1">
      <w:pPr>
        <w:spacing w:after="0" w:line="259" w:lineRule="auto"/>
        <w:ind w:left="0" w:firstLine="0"/>
        <w:rPr>
          <w:rFonts w:ascii="Segoe UI Light" w:hAnsi="Segoe UI Light" w:cs="Segoe UI Light"/>
          <w:sz w:val="24"/>
          <w:szCs w:val="24"/>
        </w:rPr>
      </w:pPr>
      <w:r w:rsidRPr="003F73C0">
        <w:rPr>
          <w:rFonts w:ascii="Segoe UI Light" w:eastAsia="Calibri" w:hAnsi="Segoe UI Light" w:cs="Segoe UI Light"/>
          <w:sz w:val="24"/>
          <w:szCs w:val="24"/>
        </w:rPr>
        <w:t xml:space="preserve"> </w:t>
      </w:r>
    </w:p>
    <w:tbl>
      <w:tblPr>
        <w:tblStyle w:val="TableGrid"/>
        <w:tblW w:w="8729" w:type="dxa"/>
        <w:tblInd w:w="721" w:type="dxa"/>
        <w:tblCellMar>
          <w:top w:w="73" w:type="dxa"/>
          <w:left w:w="107" w:type="dxa"/>
          <w:right w:w="115" w:type="dxa"/>
        </w:tblCellMar>
        <w:tblLook w:val="04A0" w:firstRow="1" w:lastRow="0" w:firstColumn="1" w:lastColumn="0" w:noHBand="0" w:noVBand="1"/>
      </w:tblPr>
      <w:tblGrid>
        <w:gridCol w:w="8729"/>
      </w:tblGrid>
      <w:tr w:rsidR="005304D1" w:rsidRPr="003F73C0" w14:paraId="7DA17025" w14:textId="77777777" w:rsidTr="005304D1">
        <w:trPr>
          <w:trHeight w:val="272"/>
        </w:trPr>
        <w:tc>
          <w:tcPr>
            <w:tcW w:w="8729" w:type="dxa"/>
            <w:tcBorders>
              <w:top w:val="single" w:sz="4" w:space="0" w:color="000000"/>
              <w:left w:val="single" w:sz="4" w:space="0" w:color="000000"/>
              <w:bottom w:val="single" w:sz="4" w:space="0" w:color="000000"/>
              <w:right w:val="single" w:sz="4" w:space="0" w:color="000000"/>
            </w:tcBorders>
            <w:shd w:val="clear" w:color="auto" w:fill="000000"/>
          </w:tcPr>
          <w:p w14:paraId="3BA32A7A" w14:textId="77777777"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b/>
                <w:color w:val="FFFFFF"/>
                <w:sz w:val="24"/>
                <w:szCs w:val="24"/>
                <w:lang w:val="es"/>
              </w:rPr>
              <w:t xml:space="preserve">Japón </w:t>
            </w:r>
          </w:p>
        </w:tc>
      </w:tr>
      <w:tr w:rsidR="005304D1" w:rsidRPr="003F73C0" w14:paraId="74B43C65" w14:textId="77777777" w:rsidTr="007A458B">
        <w:trPr>
          <w:trHeight w:val="462"/>
        </w:trPr>
        <w:tc>
          <w:tcPr>
            <w:tcW w:w="8729" w:type="dxa"/>
            <w:tcBorders>
              <w:top w:val="single" w:sz="4" w:space="0" w:color="000000"/>
              <w:left w:val="single" w:sz="4" w:space="0" w:color="000000"/>
              <w:bottom w:val="single" w:sz="4" w:space="0" w:color="000000"/>
              <w:right w:val="single" w:sz="4" w:space="0" w:color="000000"/>
            </w:tcBorders>
          </w:tcPr>
          <w:p w14:paraId="131701FF" w14:textId="47004188"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sz w:val="24"/>
                <w:szCs w:val="24"/>
                <w:lang w:val="es"/>
              </w:rPr>
              <w:t xml:space="preserve">Fenix Alliance </w:t>
            </w:r>
            <w:proofErr w:type="spellStart"/>
            <w:r w:rsidRPr="003F73C0">
              <w:rPr>
                <w:rFonts w:ascii="Segoe UI Light" w:hAnsi="Segoe UI Light" w:cs="Segoe UI Light"/>
                <w:sz w:val="24"/>
                <w:szCs w:val="24"/>
                <w:lang w:val="es"/>
              </w:rPr>
              <w:t>Japan</w:t>
            </w:r>
            <w:proofErr w:type="spellEnd"/>
            <w:r w:rsidRPr="003F73C0">
              <w:rPr>
                <w:rFonts w:ascii="Segoe UI Light" w:hAnsi="Segoe UI Light" w:cs="Segoe UI Light"/>
                <w:sz w:val="24"/>
                <w:szCs w:val="24"/>
                <w:lang w:val="es"/>
              </w:rPr>
              <w:t xml:space="preserve"> Co., Ltd. </w:t>
            </w:r>
          </w:p>
        </w:tc>
      </w:tr>
    </w:tbl>
    <w:p w14:paraId="162EA55B" w14:textId="670925F2" w:rsidR="005304D1" w:rsidRPr="003F73C0" w:rsidRDefault="005304D1" w:rsidP="005304D1">
      <w:pPr>
        <w:spacing w:after="0" w:line="259" w:lineRule="auto"/>
        <w:ind w:left="0" w:firstLine="0"/>
        <w:rPr>
          <w:rFonts w:ascii="Segoe UI Light" w:hAnsi="Segoe UI Light" w:cs="Segoe UI Light"/>
          <w:sz w:val="24"/>
          <w:szCs w:val="24"/>
        </w:rPr>
      </w:pPr>
      <w:r w:rsidRPr="003F73C0">
        <w:rPr>
          <w:rFonts w:ascii="Segoe UI Light" w:eastAsia="Calibri" w:hAnsi="Segoe UI Light" w:cs="Segoe UI Light"/>
          <w:sz w:val="24"/>
          <w:szCs w:val="24"/>
        </w:rPr>
        <w:t xml:space="preserve"> </w:t>
      </w:r>
    </w:p>
    <w:tbl>
      <w:tblPr>
        <w:tblStyle w:val="TableGrid"/>
        <w:tblW w:w="8731" w:type="dxa"/>
        <w:tblInd w:w="719" w:type="dxa"/>
        <w:tblCellMar>
          <w:top w:w="75" w:type="dxa"/>
          <w:left w:w="109" w:type="dxa"/>
          <w:right w:w="115" w:type="dxa"/>
        </w:tblCellMar>
        <w:tblLook w:val="04A0" w:firstRow="1" w:lastRow="0" w:firstColumn="1" w:lastColumn="0" w:noHBand="0" w:noVBand="1"/>
      </w:tblPr>
      <w:tblGrid>
        <w:gridCol w:w="8731"/>
      </w:tblGrid>
      <w:tr w:rsidR="005304D1" w:rsidRPr="003F73C0" w14:paraId="54AD247F" w14:textId="77777777" w:rsidTr="005304D1">
        <w:trPr>
          <w:trHeight w:val="274"/>
        </w:trPr>
        <w:tc>
          <w:tcPr>
            <w:tcW w:w="8731" w:type="dxa"/>
            <w:tcBorders>
              <w:top w:val="single" w:sz="4" w:space="0" w:color="000000"/>
              <w:left w:val="nil"/>
              <w:bottom w:val="single" w:sz="4" w:space="0" w:color="000000"/>
              <w:right w:val="single" w:sz="4" w:space="0" w:color="000000"/>
            </w:tcBorders>
            <w:shd w:val="clear" w:color="auto" w:fill="000000"/>
          </w:tcPr>
          <w:p w14:paraId="168A5A0B" w14:textId="77777777"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b/>
                <w:color w:val="FFFFFF"/>
                <w:sz w:val="24"/>
                <w:szCs w:val="24"/>
                <w:lang w:val="es"/>
              </w:rPr>
              <w:t xml:space="preserve">República de Corea </w:t>
            </w:r>
          </w:p>
        </w:tc>
      </w:tr>
      <w:tr w:rsidR="005304D1" w:rsidRPr="003F73C0" w14:paraId="50A5BAC6" w14:textId="77777777" w:rsidTr="007A458B">
        <w:trPr>
          <w:trHeight w:val="415"/>
        </w:trPr>
        <w:tc>
          <w:tcPr>
            <w:tcW w:w="8731" w:type="dxa"/>
            <w:tcBorders>
              <w:top w:val="single" w:sz="4" w:space="0" w:color="000000"/>
              <w:left w:val="single" w:sz="4" w:space="0" w:color="000000"/>
              <w:bottom w:val="single" w:sz="4" w:space="0" w:color="000000"/>
              <w:right w:val="single" w:sz="4" w:space="0" w:color="000000"/>
            </w:tcBorders>
          </w:tcPr>
          <w:p w14:paraId="0AB158BB" w14:textId="1EE81540"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sz w:val="24"/>
                <w:szCs w:val="24"/>
                <w:lang w:val="es"/>
              </w:rPr>
              <w:t xml:space="preserve">Fenix Alliance </w:t>
            </w:r>
            <w:proofErr w:type="spellStart"/>
            <w:r w:rsidRPr="003F73C0">
              <w:rPr>
                <w:rFonts w:ascii="Segoe UI Light" w:hAnsi="Segoe UI Light" w:cs="Segoe UI Light"/>
                <w:sz w:val="24"/>
                <w:szCs w:val="24"/>
                <w:lang w:val="es"/>
              </w:rPr>
              <w:t>Korea</w:t>
            </w:r>
            <w:proofErr w:type="spellEnd"/>
            <w:r w:rsidR="007A458B">
              <w:rPr>
                <w:rFonts w:ascii="Segoe UI Light" w:hAnsi="Segoe UI Light" w:cs="Segoe UI Light"/>
                <w:sz w:val="24"/>
                <w:szCs w:val="24"/>
                <w:lang w:val="es"/>
              </w:rPr>
              <w:t xml:space="preserve"> (</w:t>
            </w:r>
            <w:proofErr w:type="spellStart"/>
            <w:r w:rsidR="007A458B">
              <w:rPr>
                <w:rFonts w:ascii="Segoe UI Light" w:hAnsi="Segoe UI Light" w:cs="Segoe UI Light"/>
                <w:sz w:val="24"/>
                <w:szCs w:val="24"/>
                <w:lang w:val="es"/>
              </w:rPr>
              <w:t>Seoul</w:t>
            </w:r>
            <w:proofErr w:type="spellEnd"/>
            <w:r w:rsidR="007A458B">
              <w:rPr>
                <w:rFonts w:ascii="Segoe UI Light" w:hAnsi="Segoe UI Light" w:cs="Segoe UI Light"/>
                <w:sz w:val="24"/>
                <w:szCs w:val="24"/>
                <w:lang w:val="es"/>
              </w:rPr>
              <w:t>)</w:t>
            </w:r>
            <w:r w:rsidRPr="003F73C0">
              <w:rPr>
                <w:rFonts w:ascii="Segoe UI Light" w:hAnsi="Segoe UI Light" w:cs="Segoe UI Light"/>
                <w:sz w:val="24"/>
                <w:szCs w:val="24"/>
                <w:lang w:val="es"/>
              </w:rPr>
              <w:t xml:space="preserve">, Inc.  </w:t>
            </w:r>
          </w:p>
        </w:tc>
      </w:tr>
    </w:tbl>
    <w:p w14:paraId="00FB2AA8" w14:textId="77777777" w:rsidR="005304D1" w:rsidRPr="003F73C0" w:rsidRDefault="005304D1" w:rsidP="005304D1">
      <w:pPr>
        <w:spacing w:after="0" w:line="259" w:lineRule="auto"/>
        <w:ind w:left="0" w:firstLine="0"/>
        <w:rPr>
          <w:rFonts w:ascii="Segoe UI Light" w:hAnsi="Segoe UI Light" w:cs="Segoe UI Light"/>
          <w:sz w:val="24"/>
          <w:szCs w:val="24"/>
        </w:rPr>
      </w:pPr>
      <w:r w:rsidRPr="003F73C0">
        <w:rPr>
          <w:rFonts w:ascii="Segoe UI Light" w:eastAsia="Calibri" w:hAnsi="Segoe UI Light" w:cs="Segoe UI Light"/>
          <w:sz w:val="24"/>
          <w:szCs w:val="24"/>
        </w:rPr>
        <w:t xml:space="preserve"> </w:t>
      </w:r>
    </w:p>
    <w:tbl>
      <w:tblPr>
        <w:tblStyle w:val="TableGrid"/>
        <w:tblW w:w="8731" w:type="dxa"/>
        <w:tblInd w:w="719" w:type="dxa"/>
        <w:tblCellMar>
          <w:top w:w="75" w:type="dxa"/>
          <w:left w:w="109" w:type="dxa"/>
          <w:right w:w="115" w:type="dxa"/>
        </w:tblCellMar>
        <w:tblLook w:val="04A0" w:firstRow="1" w:lastRow="0" w:firstColumn="1" w:lastColumn="0" w:noHBand="0" w:noVBand="1"/>
      </w:tblPr>
      <w:tblGrid>
        <w:gridCol w:w="8731"/>
      </w:tblGrid>
      <w:tr w:rsidR="005304D1" w:rsidRPr="003F73C0" w14:paraId="1DD1E400" w14:textId="77777777" w:rsidTr="005304D1">
        <w:trPr>
          <w:trHeight w:val="274"/>
        </w:trPr>
        <w:tc>
          <w:tcPr>
            <w:tcW w:w="8731" w:type="dxa"/>
            <w:tcBorders>
              <w:top w:val="single" w:sz="4" w:space="0" w:color="000000"/>
              <w:left w:val="nil"/>
              <w:bottom w:val="single" w:sz="4" w:space="0" w:color="000000"/>
              <w:right w:val="single" w:sz="4" w:space="0" w:color="000000"/>
            </w:tcBorders>
            <w:shd w:val="clear" w:color="auto" w:fill="000000"/>
          </w:tcPr>
          <w:p w14:paraId="3EA011A6" w14:textId="77777777"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b/>
                <w:color w:val="FFFFFF"/>
                <w:sz w:val="24"/>
                <w:szCs w:val="24"/>
                <w:lang w:val="es"/>
              </w:rPr>
              <w:t xml:space="preserve">Taiwán </w:t>
            </w:r>
          </w:p>
        </w:tc>
      </w:tr>
      <w:tr w:rsidR="005304D1" w:rsidRPr="003F73C0" w14:paraId="3E0A806E" w14:textId="77777777" w:rsidTr="007A458B">
        <w:trPr>
          <w:trHeight w:val="469"/>
        </w:trPr>
        <w:tc>
          <w:tcPr>
            <w:tcW w:w="8731" w:type="dxa"/>
            <w:tcBorders>
              <w:top w:val="single" w:sz="4" w:space="0" w:color="000000"/>
              <w:left w:val="single" w:sz="4" w:space="0" w:color="000000"/>
              <w:bottom w:val="single" w:sz="4" w:space="0" w:color="000000"/>
              <w:right w:val="single" w:sz="4" w:space="0" w:color="000000"/>
            </w:tcBorders>
          </w:tcPr>
          <w:p w14:paraId="04EAC815" w14:textId="09BD3BD0"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sz w:val="24"/>
                <w:szCs w:val="24"/>
                <w:lang w:val="es"/>
              </w:rPr>
              <w:t xml:space="preserve">Fenix Alliance </w:t>
            </w:r>
            <w:proofErr w:type="spellStart"/>
            <w:r w:rsidRPr="003F73C0">
              <w:rPr>
                <w:rFonts w:ascii="Segoe UI Light" w:hAnsi="Segoe UI Light" w:cs="Segoe UI Light"/>
                <w:sz w:val="24"/>
                <w:szCs w:val="24"/>
                <w:lang w:val="es"/>
              </w:rPr>
              <w:t>Taiwan</w:t>
            </w:r>
            <w:proofErr w:type="spellEnd"/>
            <w:r w:rsidRPr="003F73C0">
              <w:rPr>
                <w:rFonts w:ascii="Segoe UI Light" w:hAnsi="Segoe UI Light" w:cs="Segoe UI Light"/>
                <w:sz w:val="24"/>
                <w:szCs w:val="24"/>
                <w:lang w:val="es"/>
              </w:rPr>
              <w:t xml:space="preserve"> Corporation  </w:t>
            </w:r>
          </w:p>
        </w:tc>
      </w:tr>
    </w:tbl>
    <w:p w14:paraId="33EDDBA5" w14:textId="77777777" w:rsidR="005304D1" w:rsidRPr="003F73C0" w:rsidRDefault="005304D1" w:rsidP="005304D1">
      <w:pPr>
        <w:spacing w:after="0" w:line="259" w:lineRule="auto"/>
        <w:ind w:left="0" w:firstLine="0"/>
        <w:rPr>
          <w:rFonts w:ascii="Segoe UI Light" w:hAnsi="Segoe UI Light" w:cs="Segoe UI Light"/>
          <w:sz w:val="24"/>
          <w:szCs w:val="24"/>
        </w:rPr>
      </w:pPr>
      <w:r w:rsidRPr="003F73C0">
        <w:rPr>
          <w:rFonts w:ascii="Segoe UI Light" w:eastAsia="Calibri" w:hAnsi="Segoe UI Light" w:cs="Segoe UI Light"/>
          <w:sz w:val="24"/>
          <w:szCs w:val="24"/>
        </w:rPr>
        <w:t xml:space="preserve"> </w:t>
      </w:r>
    </w:p>
    <w:tbl>
      <w:tblPr>
        <w:tblStyle w:val="TableGrid"/>
        <w:tblW w:w="8731" w:type="dxa"/>
        <w:tblInd w:w="719" w:type="dxa"/>
        <w:tblCellMar>
          <w:top w:w="75" w:type="dxa"/>
          <w:left w:w="109" w:type="dxa"/>
          <w:right w:w="115" w:type="dxa"/>
        </w:tblCellMar>
        <w:tblLook w:val="04A0" w:firstRow="1" w:lastRow="0" w:firstColumn="1" w:lastColumn="0" w:noHBand="0" w:noVBand="1"/>
      </w:tblPr>
      <w:tblGrid>
        <w:gridCol w:w="8731"/>
      </w:tblGrid>
      <w:tr w:rsidR="005304D1" w:rsidRPr="003F73C0" w14:paraId="50D1074D" w14:textId="77777777" w:rsidTr="005304D1">
        <w:trPr>
          <w:trHeight w:val="274"/>
        </w:trPr>
        <w:tc>
          <w:tcPr>
            <w:tcW w:w="8731" w:type="dxa"/>
            <w:tcBorders>
              <w:top w:val="single" w:sz="4" w:space="0" w:color="000000"/>
              <w:left w:val="nil"/>
              <w:bottom w:val="single" w:sz="4" w:space="0" w:color="000000"/>
              <w:right w:val="single" w:sz="4" w:space="0" w:color="000000"/>
            </w:tcBorders>
            <w:shd w:val="clear" w:color="auto" w:fill="000000"/>
          </w:tcPr>
          <w:p w14:paraId="4710210F" w14:textId="77777777"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b/>
                <w:color w:val="FFFFFF"/>
                <w:sz w:val="24"/>
                <w:szCs w:val="24"/>
                <w:lang w:val="es"/>
              </w:rPr>
              <w:t xml:space="preserve">APAC (como se define a continuación) </w:t>
            </w:r>
          </w:p>
        </w:tc>
      </w:tr>
      <w:tr w:rsidR="005304D1" w:rsidRPr="003F73C0" w14:paraId="59E286DB" w14:textId="77777777" w:rsidTr="007A458B">
        <w:trPr>
          <w:trHeight w:val="397"/>
        </w:trPr>
        <w:tc>
          <w:tcPr>
            <w:tcW w:w="8731" w:type="dxa"/>
            <w:tcBorders>
              <w:top w:val="single" w:sz="4" w:space="0" w:color="000000"/>
              <w:left w:val="single" w:sz="4" w:space="0" w:color="000000"/>
              <w:bottom w:val="single" w:sz="4" w:space="0" w:color="000000"/>
              <w:right w:val="single" w:sz="4" w:space="0" w:color="000000"/>
            </w:tcBorders>
          </w:tcPr>
          <w:p w14:paraId="09FA141E" w14:textId="53FDC75B"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sz w:val="24"/>
                <w:szCs w:val="24"/>
                <w:lang w:val="es"/>
              </w:rPr>
              <w:t xml:space="preserve">Fenix Alliance </w:t>
            </w:r>
            <w:r w:rsidR="007A458B">
              <w:rPr>
                <w:rFonts w:ascii="Segoe UI Light" w:hAnsi="Segoe UI Light" w:cs="Segoe UI Light"/>
                <w:sz w:val="24"/>
                <w:szCs w:val="24"/>
                <w:lang w:val="es"/>
              </w:rPr>
              <w:t xml:space="preserve">(Singapur) </w:t>
            </w:r>
            <w:r w:rsidRPr="003F73C0">
              <w:rPr>
                <w:rFonts w:ascii="Segoe UI Light" w:hAnsi="Segoe UI Light" w:cs="Segoe UI Light"/>
                <w:sz w:val="24"/>
                <w:szCs w:val="24"/>
                <w:lang w:val="es"/>
              </w:rPr>
              <w:t xml:space="preserve">Regional Sales </w:t>
            </w:r>
            <w:proofErr w:type="spellStart"/>
            <w:r w:rsidRPr="003F73C0">
              <w:rPr>
                <w:rFonts w:ascii="Segoe UI Light" w:hAnsi="Segoe UI Light" w:cs="Segoe UI Light"/>
                <w:sz w:val="24"/>
                <w:szCs w:val="24"/>
                <w:lang w:val="es"/>
              </w:rPr>
              <w:t>Pte</w:t>
            </w:r>
            <w:proofErr w:type="spellEnd"/>
            <w:r w:rsidRPr="003F73C0">
              <w:rPr>
                <w:rFonts w:ascii="Segoe UI Light" w:hAnsi="Segoe UI Light" w:cs="Segoe UI Light"/>
                <w:sz w:val="24"/>
                <w:szCs w:val="24"/>
                <w:lang w:val="es"/>
              </w:rPr>
              <w:t xml:space="preserve"> </w:t>
            </w:r>
            <w:proofErr w:type="spellStart"/>
            <w:r w:rsidRPr="003F73C0">
              <w:rPr>
                <w:rFonts w:ascii="Segoe UI Light" w:hAnsi="Segoe UI Light" w:cs="Segoe UI Light"/>
                <w:sz w:val="24"/>
                <w:szCs w:val="24"/>
                <w:lang w:val="es"/>
              </w:rPr>
              <w:t>Ltd</w:t>
            </w:r>
            <w:proofErr w:type="spellEnd"/>
            <w:r w:rsidRPr="003F73C0">
              <w:rPr>
                <w:rFonts w:ascii="Segoe UI Light" w:hAnsi="Segoe UI Light" w:cs="Segoe UI Light"/>
                <w:sz w:val="24"/>
                <w:szCs w:val="24"/>
                <w:lang w:val="es"/>
              </w:rPr>
              <w:t xml:space="preserve">  </w:t>
            </w:r>
          </w:p>
        </w:tc>
      </w:tr>
    </w:tbl>
    <w:p w14:paraId="625C7618" w14:textId="77777777" w:rsidR="005304D1" w:rsidRPr="003F73C0" w:rsidRDefault="005304D1" w:rsidP="005304D1">
      <w:pPr>
        <w:spacing w:after="0" w:line="259" w:lineRule="auto"/>
        <w:ind w:left="0" w:firstLine="0"/>
        <w:rPr>
          <w:rFonts w:ascii="Segoe UI Light" w:hAnsi="Segoe UI Light" w:cs="Segoe UI Light"/>
          <w:sz w:val="24"/>
          <w:szCs w:val="24"/>
        </w:rPr>
      </w:pPr>
      <w:r w:rsidRPr="003F73C0">
        <w:rPr>
          <w:rFonts w:ascii="Segoe UI Light" w:eastAsia="Calibri" w:hAnsi="Segoe UI Light" w:cs="Segoe UI Light"/>
          <w:sz w:val="24"/>
          <w:szCs w:val="24"/>
        </w:rPr>
        <w:t xml:space="preserve"> </w:t>
      </w:r>
    </w:p>
    <w:tbl>
      <w:tblPr>
        <w:tblStyle w:val="TableGrid"/>
        <w:tblW w:w="8731" w:type="dxa"/>
        <w:tblInd w:w="719" w:type="dxa"/>
        <w:tblCellMar>
          <w:top w:w="75" w:type="dxa"/>
          <w:left w:w="109" w:type="dxa"/>
          <w:right w:w="115" w:type="dxa"/>
        </w:tblCellMar>
        <w:tblLook w:val="04A0" w:firstRow="1" w:lastRow="0" w:firstColumn="1" w:lastColumn="0" w:noHBand="0" w:noVBand="1"/>
      </w:tblPr>
      <w:tblGrid>
        <w:gridCol w:w="8731"/>
      </w:tblGrid>
      <w:tr w:rsidR="005304D1" w:rsidRPr="003F73C0" w14:paraId="6AC97815" w14:textId="77777777" w:rsidTr="005304D1">
        <w:trPr>
          <w:trHeight w:val="198"/>
        </w:trPr>
        <w:tc>
          <w:tcPr>
            <w:tcW w:w="8731" w:type="dxa"/>
            <w:tcBorders>
              <w:top w:val="single" w:sz="4" w:space="0" w:color="000000"/>
              <w:left w:val="nil"/>
              <w:bottom w:val="single" w:sz="4" w:space="0" w:color="000000"/>
              <w:right w:val="single" w:sz="4" w:space="0" w:color="000000"/>
            </w:tcBorders>
            <w:shd w:val="clear" w:color="auto" w:fill="000000"/>
          </w:tcPr>
          <w:p w14:paraId="102B5E33" w14:textId="77777777"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b/>
                <w:color w:val="FFFFFF"/>
                <w:sz w:val="24"/>
                <w:szCs w:val="24"/>
                <w:lang w:val="es"/>
              </w:rPr>
              <w:t xml:space="preserve">EMEA, </w:t>
            </w:r>
            <w:proofErr w:type="gramStart"/>
            <w:r w:rsidRPr="003F73C0">
              <w:rPr>
                <w:rFonts w:ascii="Segoe UI Light" w:hAnsi="Segoe UI Light" w:cs="Segoe UI Light"/>
                <w:b/>
                <w:color w:val="FFFFFF"/>
                <w:sz w:val="24"/>
                <w:szCs w:val="24"/>
                <w:lang w:val="es"/>
              </w:rPr>
              <w:t>APAC</w:t>
            </w:r>
            <w:r w:rsidRPr="003F73C0">
              <w:rPr>
                <w:rFonts w:ascii="Segoe UI Light" w:hAnsi="Segoe UI Light" w:cs="Segoe UI Light"/>
                <w:sz w:val="24"/>
                <w:szCs w:val="24"/>
                <w:lang w:val="es"/>
              </w:rPr>
              <w:t xml:space="preserve"> </w:t>
            </w:r>
            <w:r w:rsidRPr="003F73C0">
              <w:rPr>
                <w:rFonts w:ascii="Segoe UI Light" w:hAnsi="Segoe UI Light" w:cs="Segoe UI Light"/>
                <w:b/>
                <w:color w:val="FFFFFF"/>
                <w:sz w:val="24"/>
                <w:szCs w:val="24"/>
                <w:lang w:val="es"/>
              </w:rPr>
              <w:t xml:space="preserve"> y</w:t>
            </w:r>
            <w:proofErr w:type="gramEnd"/>
            <w:r w:rsidRPr="003F73C0">
              <w:rPr>
                <w:rFonts w:ascii="Segoe UI Light" w:hAnsi="Segoe UI Light" w:cs="Segoe UI Light"/>
                <w:b/>
                <w:color w:val="FFFFFF"/>
                <w:sz w:val="24"/>
                <w:szCs w:val="24"/>
                <w:lang w:val="es"/>
              </w:rPr>
              <w:t xml:space="preserve"> territorios externos (como se define a continuación)</w:t>
            </w:r>
          </w:p>
        </w:tc>
      </w:tr>
      <w:tr w:rsidR="005304D1" w:rsidRPr="003F73C0" w14:paraId="7A2C854A" w14:textId="77777777" w:rsidTr="007A458B">
        <w:trPr>
          <w:trHeight w:val="388"/>
        </w:trPr>
        <w:tc>
          <w:tcPr>
            <w:tcW w:w="8731" w:type="dxa"/>
            <w:tcBorders>
              <w:top w:val="single" w:sz="4" w:space="0" w:color="000000"/>
              <w:left w:val="single" w:sz="4" w:space="0" w:color="000000"/>
              <w:bottom w:val="single" w:sz="4" w:space="0" w:color="000000"/>
              <w:right w:val="single" w:sz="4" w:space="0" w:color="000000"/>
            </w:tcBorders>
          </w:tcPr>
          <w:p w14:paraId="43DFC244" w14:textId="016CE4FA" w:rsidR="005304D1" w:rsidRPr="003F73C0" w:rsidRDefault="005304D1" w:rsidP="005304D1">
            <w:pPr>
              <w:spacing w:after="0" w:line="259" w:lineRule="auto"/>
              <w:ind w:left="0" w:firstLine="0"/>
              <w:jc w:val="left"/>
              <w:rPr>
                <w:rFonts w:ascii="Segoe UI Light" w:hAnsi="Segoe UI Light" w:cs="Segoe UI Light"/>
                <w:sz w:val="24"/>
                <w:szCs w:val="24"/>
              </w:rPr>
            </w:pPr>
            <w:r w:rsidRPr="003F73C0">
              <w:rPr>
                <w:rFonts w:ascii="Segoe UI Light" w:hAnsi="Segoe UI Light" w:cs="Segoe UI Light"/>
                <w:sz w:val="24"/>
                <w:szCs w:val="24"/>
                <w:lang w:val="es"/>
              </w:rPr>
              <w:t xml:space="preserve">Fenix Alliance </w:t>
            </w:r>
            <w:proofErr w:type="spellStart"/>
            <w:r w:rsidRPr="003F73C0">
              <w:rPr>
                <w:rFonts w:ascii="Segoe UI Light" w:hAnsi="Segoe UI Light" w:cs="Segoe UI Light"/>
                <w:sz w:val="24"/>
                <w:szCs w:val="24"/>
                <w:lang w:val="es"/>
              </w:rPr>
              <w:t>Ireland</w:t>
            </w:r>
            <w:proofErr w:type="spellEnd"/>
            <w:r w:rsidRPr="003F73C0">
              <w:rPr>
                <w:rFonts w:ascii="Segoe UI Light" w:hAnsi="Segoe UI Light" w:cs="Segoe UI Light"/>
                <w:sz w:val="24"/>
                <w:szCs w:val="24"/>
                <w:lang w:val="es"/>
              </w:rPr>
              <w:t xml:space="preserve"> Operations Ltd. </w:t>
            </w:r>
          </w:p>
        </w:tc>
      </w:tr>
    </w:tbl>
    <w:p w14:paraId="190258E1" w14:textId="7A1503BC" w:rsidR="005304D1" w:rsidRPr="003F73C0" w:rsidRDefault="005304D1" w:rsidP="005304D1">
      <w:pPr>
        <w:spacing w:after="200"/>
        <w:ind w:left="360" w:firstLine="0"/>
        <w:rPr>
          <w:rFonts w:ascii="Segoe UI Light" w:hAnsi="Segoe UI Light" w:cs="Segoe UI Light"/>
          <w:sz w:val="24"/>
          <w:szCs w:val="24"/>
        </w:rPr>
      </w:pPr>
      <w:r w:rsidRPr="003F73C0">
        <w:rPr>
          <w:rFonts w:ascii="Segoe UI Light" w:hAnsi="Segoe UI Light" w:cs="Segoe UI Light"/>
          <w:sz w:val="24"/>
          <w:szCs w:val="24"/>
          <w:lang w:val="es"/>
        </w:rPr>
        <w:br/>
      </w:r>
      <w:r w:rsidRPr="003F73C0">
        <w:rPr>
          <w:rFonts w:ascii="Segoe UI Light" w:hAnsi="Segoe UI Light" w:cs="Segoe UI Light"/>
          <w:b/>
          <w:bCs/>
          <w:sz w:val="24"/>
          <w:szCs w:val="24"/>
          <w:lang w:val="es"/>
        </w:rPr>
        <w:t>c.</w:t>
      </w:r>
      <w:r w:rsidRPr="003F73C0">
        <w:rPr>
          <w:rFonts w:ascii="Segoe UI Light" w:hAnsi="Segoe UI Light" w:cs="Segoe UI Light"/>
          <w:sz w:val="24"/>
          <w:szCs w:val="24"/>
          <w:lang w:val="es"/>
        </w:rPr>
        <w:t xml:space="preserve"> A los efectos de la sección 2</w:t>
      </w:r>
      <w:r w:rsidR="00EC7D81" w:rsidRPr="003F73C0">
        <w:rPr>
          <w:rFonts w:ascii="Segoe UI Light" w:hAnsi="Segoe UI Light" w:cs="Segoe UI Light"/>
          <w:sz w:val="24"/>
          <w:szCs w:val="24"/>
          <w:lang w:val="es"/>
        </w:rPr>
        <w:t>.b</w:t>
      </w:r>
      <w:r w:rsidRPr="003F73C0">
        <w:rPr>
          <w:rFonts w:ascii="Segoe UI Light" w:hAnsi="Segoe UI Light" w:cs="Segoe UI Light"/>
          <w:sz w:val="24"/>
          <w:szCs w:val="24"/>
          <w:lang w:val="es"/>
        </w:rPr>
        <w:t xml:space="preserve"> se aplicarán las siguientes definiciones:  </w:t>
      </w:r>
    </w:p>
    <w:p w14:paraId="270175D5" w14:textId="77777777" w:rsidR="003F73C0" w:rsidRPr="003F73C0" w:rsidRDefault="003F73C0" w:rsidP="003F73C0">
      <w:pPr>
        <w:ind w:left="715"/>
        <w:rPr>
          <w:rFonts w:ascii="Segoe UI Light" w:hAnsi="Segoe UI Light" w:cs="Segoe UI Light"/>
          <w:sz w:val="24"/>
          <w:szCs w:val="24"/>
        </w:rPr>
      </w:pPr>
      <w:r w:rsidRPr="003F73C0">
        <w:rPr>
          <w:rFonts w:ascii="Segoe UI Light" w:hAnsi="Segoe UI Light" w:cs="Segoe UI Light"/>
          <w:sz w:val="24"/>
          <w:szCs w:val="24"/>
          <w:lang w:val="es"/>
        </w:rPr>
        <w:t>"</w:t>
      </w:r>
      <w:r w:rsidRPr="003F73C0">
        <w:rPr>
          <w:rFonts w:ascii="Segoe UI Light" w:hAnsi="Segoe UI Light" w:cs="Segoe UI Light"/>
          <w:b/>
          <w:sz w:val="24"/>
          <w:szCs w:val="24"/>
          <w:lang w:val="es"/>
        </w:rPr>
        <w:t>América del Norte</w:t>
      </w:r>
      <w:r w:rsidRPr="003F73C0">
        <w:rPr>
          <w:rFonts w:ascii="Segoe UI Light" w:hAnsi="Segoe UI Light" w:cs="Segoe UI Light"/>
          <w:sz w:val="24"/>
          <w:szCs w:val="24"/>
          <w:lang w:val="es"/>
        </w:rPr>
        <w:t xml:space="preserve">" significa Estados Unidos, Canadá, Anguila, Antártida, Antigua y Barbuda, Argentina, Aruba, Bahamas, Barbados, Belice, Bermudas, Bolivia, Brasil, Islas Vírgenes Británicas, Islas Caimán, Chile, Colombia, Costa Rica, Dominica, República Dominicana, Ecuador, El Salvador, Islas Malvinas, Guayana Francesa, Granada, Guadalupe, Guatemala, Guyana, Haití, Honduras, Jamaica, Martinica, México, Montserrat, Bonaire, Curazao, Saba, San Eustaquio, San Martín, Nicaragua, Panamá, Paraguay, Perú, Puerto Rico, San Cristóbal y Nieves, Santa </w:t>
      </w:r>
      <w:r w:rsidRPr="003F73C0">
        <w:rPr>
          <w:rFonts w:ascii="Segoe UI Light" w:hAnsi="Segoe UI Light" w:cs="Segoe UI Light"/>
          <w:sz w:val="24"/>
          <w:szCs w:val="24"/>
          <w:lang w:val="es"/>
        </w:rPr>
        <w:lastRenderedPageBreak/>
        <w:t xml:space="preserve">Lucía, San Vicente y Granadinas, Georgia del Sur y Las Islas </w:t>
      </w:r>
      <w:proofErr w:type="spellStart"/>
      <w:r w:rsidRPr="003F73C0">
        <w:rPr>
          <w:rFonts w:ascii="Segoe UI Light" w:hAnsi="Segoe UI Light" w:cs="Segoe UI Light"/>
          <w:sz w:val="24"/>
          <w:szCs w:val="24"/>
          <w:lang w:val="es"/>
        </w:rPr>
        <w:t>Sandwich</w:t>
      </w:r>
      <w:proofErr w:type="spellEnd"/>
      <w:r w:rsidRPr="003F73C0">
        <w:rPr>
          <w:rFonts w:ascii="Segoe UI Light" w:hAnsi="Segoe UI Light" w:cs="Segoe UI Light"/>
          <w:sz w:val="24"/>
          <w:szCs w:val="24"/>
          <w:lang w:val="es"/>
        </w:rPr>
        <w:t>, Surinam, Trinidad y Tobago, Islas Turcas y Caicos,</w:t>
      </w:r>
    </w:p>
    <w:p w14:paraId="7E1221CD" w14:textId="77777777" w:rsidR="003F73C0" w:rsidRPr="003F73C0" w:rsidRDefault="003F73C0" w:rsidP="003F73C0">
      <w:pPr>
        <w:ind w:left="715"/>
        <w:rPr>
          <w:rFonts w:ascii="Segoe UI Light" w:hAnsi="Segoe UI Light" w:cs="Segoe UI Light"/>
          <w:sz w:val="24"/>
          <w:szCs w:val="24"/>
        </w:rPr>
      </w:pPr>
    </w:p>
    <w:p w14:paraId="18A7A2DF" w14:textId="2C7A381C" w:rsidR="003F73C0" w:rsidRPr="003F73C0" w:rsidRDefault="003F73C0" w:rsidP="003F73C0">
      <w:pPr>
        <w:spacing w:after="0" w:line="259" w:lineRule="auto"/>
        <w:ind w:left="720" w:firstLine="0"/>
        <w:jc w:val="left"/>
        <w:rPr>
          <w:rFonts w:ascii="Segoe UI Light" w:hAnsi="Segoe UI Light" w:cs="Segoe UI Light"/>
          <w:sz w:val="24"/>
          <w:szCs w:val="24"/>
        </w:rPr>
      </w:pPr>
      <w:r w:rsidRPr="003F73C0">
        <w:rPr>
          <w:rFonts w:ascii="Segoe UI Light" w:hAnsi="Segoe UI Light" w:cs="Segoe UI Light"/>
          <w:b/>
          <w:sz w:val="24"/>
          <w:szCs w:val="24"/>
          <w:lang w:val="es"/>
        </w:rPr>
        <w:t xml:space="preserve">"APAC" </w:t>
      </w:r>
      <w:r w:rsidRPr="003F73C0">
        <w:rPr>
          <w:rFonts w:ascii="Segoe UI Light" w:hAnsi="Segoe UI Light" w:cs="Segoe UI Light"/>
          <w:sz w:val="24"/>
          <w:szCs w:val="24"/>
          <w:lang w:val="es"/>
        </w:rPr>
        <w:t xml:space="preserve">significa Australia, Bangladesh, Bután, Territorio Británico del Océano Indico, </w:t>
      </w:r>
      <w:proofErr w:type="spellStart"/>
      <w:r w:rsidRPr="003F73C0">
        <w:rPr>
          <w:rFonts w:ascii="Segoe UI Light" w:hAnsi="Segoe UI Light" w:cs="Segoe UI Light"/>
          <w:sz w:val="24"/>
          <w:szCs w:val="24"/>
          <w:lang w:val="es"/>
        </w:rPr>
        <w:t>Brunei</w:t>
      </w:r>
      <w:proofErr w:type="spellEnd"/>
      <w:r w:rsidRPr="003F73C0">
        <w:rPr>
          <w:rFonts w:ascii="Segoe UI Light" w:hAnsi="Segoe UI Light" w:cs="Segoe UI Light"/>
          <w:sz w:val="24"/>
          <w:szCs w:val="24"/>
          <w:lang w:val="es"/>
        </w:rPr>
        <w:t xml:space="preserve">, Camboya, República Democrática de Timor-Leste, </w:t>
      </w:r>
      <w:proofErr w:type="spellStart"/>
      <w:r w:rsidRPr="003F73C0">
        <w:rPr>
          <w:rFonts w:ascii="Segoe UI Light" w:hAnsi="Segoe UI Light" w:cs="Segoe UI Light"/>
          <w:sz w:val="24"/>
          <w:szCs w:val="24"/>
          <w:lang w:val="es"/>
        </w:rPr>
        <w:t>Fiji</w:t>
      </w:r>
      <w:proofErr w:type="spellEnd"/>
      <w:r w:rsidRPr="003F73C0">
        <w:rPr>
          <w:rFonts w:ascii="Segoe UI Light" w:hAnsi="Segoe UI Light" w:cs="Segoe UI Light"/>
          <w:sz w:val="24"/>
          <w:szCs w:val="24"/>
          <w:lang w:val="es"/>
        </w:rPr>
        <w:t>, Hong Kong SAR, Indonesia, Laos, Macao SAR, Malasia, Maldivas, Myanmar, Nepal, Nueva Zelanda, Filipinas, Samoa, Singapur, Islas Salomón, Sri Lanka, Tailandia, Vanuatu y Vietnam.</w:t>
      </w:r>
    </w:p>
    <w:p w14:paraId="721FFFFA" w14:textId="77777777" w:rsidR="003F73C0" w:rsidRPr="003F73C0" w:rsidRDefault="003F73C0" w:rsidP="003F73C0">
      <w:pPr>
        <w:spacing w:after="0" w:line="259" w:lineRule="auto"/>
        <w:ind w:left="720" w:firstLine="0"/>
        <w:jc w:val="left"/>
        <w:rPr>
          <w:rFonts w:ascii="Segoe UI Light" w:hAnsi="Segoe UI Light" w:cs="Segoe UI Light"/>
          <w:sz w:val="24"/>
          <w:szCs w:val="24"/>
        </w:rPr>
      </w:pPr>
    </w:p>
    <w:p w14:paraId="50AC1826" w14:textId="735767E0" w:rsidR="003F73C0" w:rsidRPr="003F73C0" w:rsidRDefault="003F73C0" w:rsidP="003F73C0">
      <w:pPr>
        <w:ind w:left="715"/>
        <w:rPr>
          <w:rFonts w:ascii="Segoe UI Light" w:hAnsi="Segoe UI Light" w:cs="Segoe UI Light"/>
          <w:sz w:val="24"/>
          <w:szCs w:val="24"/>
        </w:rPr>
      </w:pPr>
      <w:r w:rsidRPr="003F73C0">
        <w:rPr>
          <w:rFonts w:ascii="Segoe UI Light" w:hAnsi="Segoe UI Light" w:cs="Segoe UI Light"/>
          <w:sz w:val="24"/>
          <w:szCs w:val="24"/>
          <w:lang w:val="es"/>
        </w:rPr>
        <w:t>"</w:t>
      </w:r>
      <w:r w:rsidRPr="003F73C0">
        <w:rPr>
          <w:rFonts w:ascii="Segoe UI Light" w:hAnsi="Segoe UI Light" w:cs="Segoe UI Light"/>
          <w:b/>
          <w:sz w:val="24"/>
          <w:szCs w:val="24"/>
          <w:lang w:val="es"/>
        </w:rPr>
        <w:t>EMEA y territorios externos</w:t>
      </w:r>
      <w:r w:rsidRPr="003F73C0">
        <w:rPr>
          <w:rFonts w:ascii="Segoe UI Light" w:hAnsi="Segoe UI Light" w:cs="Segoe UI Light"/>
          <w:sz w:val="24"/>
          <w:szCs w:val="24"/>
          <w:lang w:val="es"/>
        </w:rPr>
        <w:t xml:space="preserve">" significa Afganistán, Islas </w:t>
      </w:r>
      <w:proofErr w:type="spellStart"/>
      <w:r w:rsidRPr="003F73C0">
        <w:rPr>
          <w:rFonts w:ascii="Segoe UI Light" w:hAnsi="Segoe UI Light" w:cs="Segoe UI Light"/>
          <w:sz w:val="24"/>
          <w:szCs w:val="24"/>
          <w:lang w:val="es"/>
        </w:rPr>
        <w:t>Aland</w:t>
      </w:r>
      <w:proofErr w:type="spellEnd"/>
      <w:r w:rsidRPr="003F73C0">
        <w:rPr>
          <w:rFonts w:ascii="Segoe UI Light" w:hAnsi="Segoe UI Light" w:cs="Segoe UI Light"/>
          <w:sz w:val="24"/>
          <w:szCs w:val="24"/>
          <w:lang w:val="es"/>
        </w:rPr>
        <w:t xml:space="preserve">, Albania, Argelia, Andorra, Angola, Armenia, Austria, Azerbaiyán, </w:t>
      </w:r>
      <w:proofErr w:type="spellStart"/>
      <w:r w:rsidRPr="003F73C0">
        <w:rPr>
          <w:rFonts w:ascii="Segoe UI Light" w:hAnsi="Segoe UI Light" w:cs="Segoe UI Light"/>
          <w:sz w:val="24"/>
          <w:szCs w:val="24"/>
          <w:lang w:val="es"/>
        </w:rPr>
        <w:t>Bahrein</w:t>
      </w:r>
      <w:proofErr w:type="spellEnd"/>
      <w:r w:rsidRPr="003F73C0">
        <w:rPr>
          <w:rFonts w:ascii="Segoe UI Light" w:hAnsi="Segoe UI Light" w:cs="Segoe UI Light"/>
          <w:sz w:val="24"/>
          <w:szCs w:val="24"/>
          <w:lang w:val="es"/>
        </w:rPr>
        <w:t xml:space="preserve">, Bielorrusia, Bélgica, </w:t>
      </w:r>
      <w:proofErr w:type="spellStart"/>
      <w:r w:rsidRPr="003F73C0">
        <w:rPr>
          <w:rFonts w:ascii="Segoe UI Light" w:hAnsi="Segoe UI Light" w:cs="Segoe UI Light"/>
          <w:sz w:val="24"/>
          <w:szCs w:val="24"/>
          <w:lang w:val="es"/>
        </w:rPr>
        <w:t>Benin</w:t>
      </w:r>
      <w:proofErr w:type="spellEnd"/>
      <w:r w:rsidRPr="003F73C0">
        <w:rPr>
          <w:rFonts w:ascii="Segoe UI Light" w:hAnsi="Segoe UI Light" w:cs="Segoe UI Light"/>
          <w:sz w:val="24"/>
          <w:szCs w:val="24"/>
          <w:lang w:val="es"/>
        </w:rPr>
        <w:t xml:space="preserve">, Bosnia y Herzegovina, Botswana, Isla Bouvet, Bulgaria, Burkina Faso, Burundi, Camerún, Cabo Verde, República Centroafricana, Chad, Islas del Canal, Comoras, Costa de Marfil, Croacia, Chipre, República Checa, República Democrática del Congo, Dinamarca, </w:t>
      </w:r>
      <w:proofErr w:type="spellStart"/>
      <w:r w:rsidRPr="003F73C0">
        <w:rPr>
          <w:rFonts w:ascii="Segoe UI Light" w:hAnsi="Segoe UI Light" w:cs="Segoe UI Light"/>
          <w:sz w:val="24"/>
          <w:szCs w:val="24"/>
          <w:lang w:val="es"/>
        </w:rPr>
        <w:t>Djibouti</w:t>
      </w:r>
      <w:proofErr w:type="spellEnd"/>
      <w:r w:rsidRPr="003F73C0">
        <w:rPr>
          <w:rFonts w:ascii="Segoe UI Light" w:hAnsi="Segoe UI Light" w:cs="Segoe UI Light"/>
          <w:sz w:val="24"/>
          <w:szCs w:val="24"/>
          <w:lang w:val="es"/>
        </w:rPr>
        <w:t xml:space="preserve">, Egipto, Guinea Ecuatorial, Eritrea, Estonia, Etiopía, Islas Feroe, Finlandia, Francia, Polinesia Francesa, Gabón, Gambia Gibraltar, Grecia, Groenlandia, Guinea, Guinea-Bissau, Hungría, Islandia, Iraq, Irlanda, Isla de Man, Israel, Italia, Jordania, Kazajstán, </w:t>
      </w:r>
      <w:proofErr w:type="spellStart"/>
      <w:r w:rsidRPr="003F73C0">
        <w:rPr>
          <w:rFonts w:ascii="Segoe UI Light" w:hAnsi="Segoe UI Light" w:cs="Segoe UI Light"/>
          <w:sz w:val="24"/>
          <w:szCs w:val="24"/>
          <w:lang w:val="es"/>
        </w:rPr>
        <w:t>Kenya</w:t>
      </w:r>
      <w:proofErr w:type="spellEnd"/>
      <w:r w:rsidRPr="003F73C0">
        <w:rPr>
          <w:rFonts w:ascii="Segoe UI Light" w:hAnsi="Segoe UI Light" w:cs="Segoe UI Light"/>
          <w:sz w:val="24"/>
          <w:szCs w:val="24"/>
          <w:lang w:val="es"/>
        </w:rPr>
        <w:t xml:space="preserve">, Kosovo, Kuwait, Kirguistán, Letonia, Líbano, </w:t>
      </w:r>
      <w:proofErr w:type="spellStart"/>
      <w:r w:rsidRPr="003F73C0">
        <w:rPr>
          <w:rFonts w:ascii="Segoe UI Light" w:hAnsi="Segoe UI Light" w:cs="Segoe UI Light"/>
          <w:sz w:val="24"/>
          <w:szCs w:val="24"/>
          <w:lang w:val="es"/>
        </w:rPr>
        <w:t>Lesotho</w:t>
      </w:r>
      <w:proofErr w:type="spellEnd"/>
      <w:r w:rsidRPr="003F73C0">
        <w:rPr>
          <w:rFonts w:ascii="Segoe UI Light" w:hAnsi="Segoe UI Light" w:cs="Segoe UI Light"/>
          <w:sz w:val="24"/>
          <w:szCs w:val="24"/>
          <w:lang w:val="es"/>
        </w:rPr>
        <w:t xml:space="preserve">, Liberia, Libia, Liechtenstein, Lituania, Luxemburgo, Macedonia, Madagascar, Malawi, Malí, Malta, Mauritania, Mauricio, Mayotte, Moldavia, Mónaco, Mongolia, Montenegro, Marruecos, Mozambique, Namibia, Países Bajos, Nueva Caledonia, Níger, Nigeria, Noruega, Omán, Pakistán, Palestina, Polonia, Portugal, Qatar, Reunión, Rumania, Rusia, Ruanda, San Marino, Santo Tomé y Príncipe, Arabia Saudita, Senegal, Serbia, Seychelles, Sierra Leona, Eslovaquia, Eslovenia, Somalia, Sudáfrica, España, Santa Helena, Svalbard y Jan Mayen, </w:t>
      </w:r>
      <w:proofErr w:type="spellStart"/>
      <w:r w:rsidRPr="003F73C0">
        <w:rPr>
          <w:rFonts w:ascii="Segoe UI Light" w:hAnsi="Segoe UI Light" w:cs="Segoe UI Light"/>
          <w:sz w:val="24"/>
          <w:szCs w:val="24"/>
          <w:lang w:val="es"/>
        </w:rPr>
        <w:t>Swazilandia</w:t>
      </w:r>
      <w:proofErr w:type="spellEnd"/>
      <w:r w:rsidRPr="003F73C0">
        <w:rPr>
          <w:rFonts w:ascii="Segoe UI Light" w:hAnsi="Segoe UI Light" w:cs="Segoe UI Light"/>
          <w:sz w:val="24"/>
          <w:szCs w:val="24"/>
          <w:lang w:val="es"/>
        </w:rPr>
        <w:t xml:space="preserve">, Suecia, Suiza, Tayikistán, Tanzania, Togo, Túnez, Turquía, Turkmenistán, Uganda, Ucrania, Emiratos </w:t>
      </w:r>
      <w:proofErr w:type="spellStart"/>
      <w:r w:rsidRPr="003F73C0">
        <w:rPr>
          <w:rFonts w:ascii="Segoe UI Light" w:hAnsi="Segoe UI Light" w:cs="Segoe UI Light"/>
          <w:sz w:val="24"/>
          <w:szCs w:val="24"/>
          <w:lang w:val="es"/>
        </w:rPr>
        <w:t>Arabes</w:t>
      </w:r>
      <w:proofErr w:type="spellEnd"/>
      <w:r w:rsidRPr="003F73C0">
        <w:rPr>
          <w:rFonts w:ascii="Segoe UI Light" w:hAnsi="Segoe UI Light" w:cs="Segoe UI Light"/>
          <w:sz w:val="24"/>
          <w:szCs w:val="24"/>
          <w:lang w:val="es"/>
        </w:rPr>
        <w:t xml:space="preserve"> Unidos, Reino Unido, Uzbekistán, Ciudad del Vaticano, Banco Occidental, Sáhara Occidental, </w:t>
      </w:r>
    </w:p>
    <w:p w14:paraId="714189E6" w14:textId="75459286" w:rsidR="001963DD" w:rsidRPr="003F73C0" w:rsidRDefault="001963DD" w:rsidP="005304D1">
      <w:pPr>
        <w:rPr>
          <w:rFonts w:ascii="Segoe UI Light" w:hAnsi="Segoe UI Light" w:cs="Segoe UI Light"/>
          <w:sz w:val="24"/>
          <w:szCs w:val="24"/>
        </w:rPr>
      </w:pPr>
    </w:p>
    <w:sectPr w:rsidR="001963DD" w:rsidRPr="003F73C0" w:rsidSect="005304D1">
      <w:headerReference w:type="default" r:id="rId14"/>
      <w:footerReference w:type="even" r:id="rId15"/>
      <w:footerReference w:type="default" r:id="rId16"/>
      <w:headerReference w:type="first" r:id="rId17"/>
      <w:footerReference w:type="first" r:id="rId18"/>
      <w:pgSz w:w="12240" w:h="15840"/>
      <w:pgMar w:top="1417" w:right="1701" w:bottom="1417" w:left="1701" w:header="720" w:footer="718"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2AFA4" w14:textId="77777777" w:rsidR="00776410" w:rsidRDefault="00776410">
      <w:pPr>
        <w:spacing w:after="0" w:line="240" w:lineRule="auto"/>
      </w:pPr>
      <w:r>
        <w:separator/>
      </w:r>
    </w:p>
  </w:endnote>
  <w:endnote w:type="continuationSeparator" w:id="0">
    <w:p w14:paraId="72DD3F11" w14:textId="77777777" w:rsidR="00776410" w:rsidRDefault="00776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21B77" w14:textId="77777777" w:rsidR="005636D5" w:rsidRDefault="005636D5">
    <w:pPr>
      <w:tabs>
        <w:tab w:val="center" w:pos="5147"/>
        <w:tab w:val="right" w:pos="10243"/>
      </w:tabs>
      <w:spacing w:after="0" w:line="259" w:lineRule="auto"/>
      <w:ind w:left="0" w:right="-878" w:firstLine="0"/>
      <w:jc w:val="left"/>
    </w:pPr>
    <w:r>
      <w:rPr>
        <w:b/>
        <w:sz w:val="16"/>
      </w:rPr>
      <w:t>Country-Specific Provisions</w:t>
    </w:r>
    <w:r>
      <w:rPr>
        <w:sz w:val="16"/>
      </w:rPr>
      <w:t xml:space="preserve"> </w:t>
    </w:r>
    <w:r>
      <w:rPr>
        <w:sz w:val="16"/>
      </w:rPr>
      <w:tab/>
      <w:t xml:space="preserve"> </w:t>
    </w:r>
    <w:r>
      <w:rPr>
        <w:sz w:val="16"/>
      </w:rPr>
      <w:tab/>
      <w:t xml:space="preserve">Page </w:t>
    </w:r>
    <w:r>
      <w:fldChar w:fldCharType="begin"/>
    </w:r>
    <w:r>
      <w:instrText xml:space="preserve"> PAGE   \* MERGEFORMAT </w:instrText>
    </w:r>
    <w:r>
      <w:fldChar w:fldCharType="separate"/>
    </w:r>
    <w:r>
      <w:rPr>
        <w:sz w:val="16"/>
      </w:rPr>
      <w:t>2</w:t>
    </w:r>
    <w:r>
      <w:rPr>
        <w:sz w:val="16"/>
      </w:rPr>
      <w:fldChar w:fldCharType="end"/>
    </w:r>
    <w:r>
      <w:rPr>
        <w:sz w:val="16"/>
      </w:rPr>
      <w:t xml:space="preserve"> of </w:t>
    </w:r>
    <w:fldSimple w:instr=" NUMPAGES   \* MERGEFORMAT ">
      <w:r>
        <w:rPr>
          <w:sz w:val="16"/>
        </w:rPr>
        <w:t>5</w:t>
      </w:r>
    </w:fldSimple>
    <w:r>
      <w:rPr>
        <w:sz w:val="16"/>
      </w:rPr>
      <w:t xml:space="preserve"> </w:t>
    </w:r>
  </w:p>
  <w:p w14:paraId="38C494EC" w14:textId="77777777" w:rsidR="005636D5" w:rsidRDefault="005636D5">
    <w:pPr>
      <w:spacing w:after="25" w:line="259" w:lineRule="auto"/>
      <w:ind w:left="108" w:firstLine="0"/>
      <w:jc w:val="left"/>
    </w:pPr>
    <w:r>
      <w:rPr>
        <w:sz w:val="16"/>
      </w:rPr>
      <w:t xml:space="preserve"> </w:t>
    </w:r>
  </w:p>
  <w:p w14:paraId="689202C4" w14:textId="77777777" w:rsidR="005636D5" w:rsidRDefault="005636D5">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4FCC" w14:textId="77777777" w:rsidR="005636D5" w:rsidRDefault="005636D5" w:rsidP="004E763B">
    <w:pPr>
      <w:tabs>
        <w:tab w:val="center" w:pos="5147"/>
        <w:tab w:val="right" w:pos="10243"/>
      </w:tabs>
      <w:spacing w:after="0" w:line="259" w:lineRule="auto"/>
      <w:ind w:left="0" w:right="-878" w:firstLine="0"/>
      <w:jc w:val="left"/>
    </w:pPr>
    <w:r>
      <w:rPr>
        <w:b/>
        <w:sz w:val="16"/>
      </w:rPr>
      <w:t>Country-Specific Provisions</w:t>
    </w:r>
    <w:r>
      <w:rPr>
        <w:sz w:val="16"/>
      </w:rPr>
      <w:t xml:space="preserve"> </w:t>
    </w:r>
    <w:r>
      <w:rPr>
        <w:sz w:val="16"/>
      </w:rPr>
      <w:tab/>
      <w:t xml:space="preserve"> </w:t>
    </w:r>
    <w:r>
      <w:rPr>
        <w:sz w:val="16"/>
      </w:rPr>
      <w:tab/>
      <w:t xml:space="preserve">Page </w:t>
    </w:r>
    <w:r>
      <w:fldChar w:fldCharType="begin"/>
    </w:r>
    <w:r>
      <w:instrText xml:space="preserve"> PAGE   \* MERGEFORMAT </w:instrText>
    </w:r>
    <w:r>
      <w:fldChar w:fldCharType="separate"/>
    </w:r>
    <w:r>
      <w:rPr>
        <w:sz w:val="16"/>
      </w:rPr>
      <w:t>2</w:t>
    </w:r>
    <w:r>
      <w:rPr>
        <w:sz w:val="16"/>
      </w:rPr>
      <w:fldChar w:fldCharType="end"/>
    </w:r>
    <w:r>
      <w:rPr>
        <w:sz w:val="16"/>
      </w:rPr>
      <w:t xml:space="preserve"> of </w:t>
    </w:r>
    <w:fldSimple w:instr=" NUMPAGES   \* MERGEFORMAT ">
      <w:r>
        <w:rPr>
          <w:sz w:val="16"/>
        </w:rPr>
        <w:t>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B9A22" w14:textId="77777777" w:rsidR="005636D5" w:rsidRDefault="005636D5">
    <w:pPr>
      <w:spacing w:after="212" w:line="259" w:lineRule="auto"/>
      <w:ind w:left="0" w:right="-878" w:firstLine="0"/>
      <w:jc w:val="right"/>
    </w:pPr>
    <w:r>
      <w:rPr>
        <w:sz w:val="16"/>
      </w:rPr>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5</w:t>
      </w:r>
    </w:fldSimple>
    <w:r>
      <w:rPr>
        <w:sz w:val="16"/>
      </w:rPr>
      <w:t xml:space="preserve"> </w:t>
    </w:r>
  </w:p>
  <w:p w14:paraId="5884E71D" w14:textId="77777777" w:rsidR="005636D5" w:rsidRDefault="005636D5">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1D6FA" w14:textId="77777777" w:rsidR="00776410" w:rsidRDefault="00776410">
      <w:pPr>
        <w:spacing w:after="0" w:line="240" w:lineRule="auto"/>
      </w:pPr>
      <w:r>
        <w:separator/>
      </w:r>
    </w:p>
  </w:footnote>
  <w:footnote w:type="continuationSeparator" w:id="0">
    <w:p w14:paraId="0C7D6E11" w14:textId="77777777" w:rsidR="00776410" w:rsidRDefault="00776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16B98" w14:textId="0AAB534C" w:rsidR="005636D5" w:rsidRDefault="005636D5">
    <w:pPr>
      <w:pStyle w:val="Header"/>
    </w:pPr>
    <w:r>
      <w:rPr>
        <w:noProof/>
      </w:rPr>
      <w:drawing>
        <wp:inline distT="0" distB="0" distL="0" distR="0" wp14:anchorId="69A751CA" wp14:editId="52F9A1A7">
          <wp:extent cx="1340168"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419873" cy="24219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E93F" w14:textId="25BFE52A" w:rsidR="005636D5" w:rsidRDefault="005636D5">
    <w:pPr>
      <w:pStyle w:val="Header"/>
    </w:pPr>
    <w:r>
      <w:rPr>
        <w:noProof/>
      </w:rPr>
      <w:drawing>
        <wp:inline distT="0" distB="0" distL="0" distR="0" wp14:anchorId="4DC7367A" wp14:editId="6E81C554">
          <wp:extent cx="1340168"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419873" cy="2421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875D4"/>
    <w:multiLevelType w:val="hybridMultilevel"/>
    <w:tmpl w:val="28746316"/>
    <w:lvl w:ilvl="0" w:tplc="CF465E12">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3C3E69FA">
      <w:start w:val="1"/>
      <w:numFmt w:val="lowerLetter"/>
      <w:lvlText w:val="%2"/>
      <w:lvlJc w:val="left"/>
      <w:pPr>
        <w:ind w:left="14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2D6E5700">
      <w:start w:val="1"/>
      <w:numFmt w:val="lowerRoman"/>
      <w:lvlText w:val="%3"/>
      <w:lvlJc w:val="left"/>
      <w:pPr>
        <w:ind w:left="21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19B4956E">
      <w:start w:val="1"/>
      <w:numFmt w:val="decimal"/>
      <w:lvlText w:val="%4"/>
      <w:lvlJc w:val="left"/>
      <w:pPr>
        <w:ind w:left="28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45903970">
      <w:start w:val="1"/>
      <w:numFmt w:val="lowerLetter"/>
      <w:lvlText w:val="%5"/>
      <w:lvlJc w:val="left"/>
      <w:pPr>
        <w:ind w:left="36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D52E02AE">
      <w:start w:val="1"/>
      <w:numFmt w:val="lowerRoman"/>
      <w:lvlText w:val="%6"/>
      <w:lvlJc w:val="left"/>
      <w:pPr>
        <w:ind w:left="4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2D80FB7A">
      <w:start w:val="1"/>
      <w:numFmt w:val="decimal"/>
      <w:lvlText w:val="%7"/>
      <w:lvlJc w:val="left"/>
      <w:pPr>
        <w:ind w:left="50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1E4831E6">
      <w:start w:val="1"/>
      <w:numFmt w:val="lowerLetter"/>
      <w:lvlText w:val="%8"/>
      <w:lvlJc w:val="left"/>
      <w:pPr>
        <w:ind w:left="57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BD70F654">
      <w:start w:val="1"/>
      <w:numFmt w:val="lowerRoman"/>
      <w:lvlText w:val="%9"/>
      <w:lvlJc w:val="left"/>
      <w:pPr>
        <w:ind w:left="64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AC40EC2"/>
    <w:multiLevelType w:val="hybridMultilevel"/>
    <w:tmpl w:val="AE4C1588"/>
    <w:lvl w:ilvl="0" w:tplc="418AAC8A">
      <w:start w:val="1"/>
      <w:numFmt w:val="lowerLetter"/>
      <w:lvlText w:val="%1."/>
      <w:lvlJc w:val="left"/>
      <w:pPr>
        <w:ind w:left="7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A45CE140">
      <w:start w:val="1"/>
      <w:numFmt w:val="lowerLetter"/>
      <w:lvlText w:val="%2"/>
      <w:lvlJc w:val="left"/>
      <w:pPr>
        <w:ind w:left="14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F872B6A8">
      <w:start w:val="1"/>
      <w:numFmt w:val="lowerRoman"/>
      <w:lvlText w:val="%3"/>
      <w:lvlJc w:val="left"/>
      <w:pPr>
        <w:ind w:left="21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CF22E66E">
      <w:start w:val="1"/>
      <w:numFmt w:val="decimal"/>
      <w:lvlText w:val="%4"/>
      <w:lvlJc w:val="left"/>
      <w:pPr>
        <w:ind w:left="28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8D160902">
      <w:start w:val="1"/>
      <w:numFmt w:val="lowerLetter"/>
      <w:lvlText w:val="%5"/>
      <w:lvlJc w:val="left"/>
      <w:pPr>
        <w:ind w:left="36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1646EAD2">
      <w:start w:val="1"/>
      <w:numFmt w:val="lowerRoman"/>
      <w:lvlText w:val="%6"/>
      <w:lvlJc w:val="left"/>
      <w:pPr>
        <w:ind w:left="43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21F043FA">
      <w:start w:val="1"/>
      <w:numFmt w:val="decimal"/>
      <w:lvlText w:val="%7"/>
      <w:lvlJc w:val="left"/>
      <w:pPr>
        <w:ind w:left="50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540E3220">
      <w:start w:val="1"/>
      <w:numFmt w:val="lowerLetter"/>
      <w:lvlText w:val="%8"/>
      <w:lvlJc w:val="left"/>
      <w:pPr>
        <w:ind w:left="57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7DAC9D26">
      <w:start w:val="1"/>
      <w:numFmt w:val="lowerRoman"/>
      <w:lvlText w:val="%9"/>
      <w:lvlJc w:val="left"/>
      <w:pPr>
        <w:ind w:left="64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3DD"/>
    <w:rsid w:val="001963DD"/>
    <w:rsid w:val="00196873"/>
    <w:rsid w:val="003E648F"/>
    <w:rsid w:val="003F73C0"/>
    <w:rsid w:val="004B6DDC"/>
    <w:rsid w:val="004D5D0D"/>
    <w:rsid w:val="004E763B"/>
    <w:rsid w:val="005304D1"/>
    <w:rsid w:val="00540E53"/>
    <w:rsid w:val="005636D5"/>
    <w:rsid w:val="00566048"/>
    <w:rsid w:val="006540AC"/>
    <w:rsid w:val="006A7D3D"/>
    <w:rsid w:val="006C2122"/>
    <w:rsid w:val="00776410"/>
    <w:rsid w:val="007A458B"/>
    <w:rsid w:val="00971A02"/>
    <w:rsid w:val="00A251BE"/>
    <w:rsid w:val="00DF5081"/>
    <w:rsid w:val="00EA3455"/>
    <w:rsid w:val="00EC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212C"/>
  <w15:docId w15:val="{AB19AC05-259F-426B-A5ED-14A29B90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hanging="10"/>
      <w:jc w:val="both"/>
    </w:pPr>
    <w:rPr>
      <w:rFonts w:ascii="Segoe UI" w:eastAsia="Segoe UI" w:hAnsi="Segoe UI" w:cs="Segoe UI"/>
      <w:color w:val="000000"/>
      <w:sz w:val="20"/>
    </w:rPr>
  </w:style>
  <w:style w:type="paragraph" w:styleId="Heading1">
    <w:name w:val="heading 1"/>
    <w:basedOn w:val="Normal"/>
    <w:next w:val="Normal"/>
    <w:link w:val="Heading1Char"/>
    <w:uiPriority w:val="9"/>
    <w:qFormat/>
    <w:rsid w:val="00971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E7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4E763B"/>
    <w:rPr>
      <w:rFonts w:ascii="Segoe UI" w:eastAsia="Segoe UI" w:hAnsi="Segoe UI" w:cs="Segoe UI"/>
      <w:color w:val="000000"/>
      <w:sz w:val="20"/>
    </w:rPr>
  </w:style>
  <w:style w:type="paragraph" w:styleId="ListParagraph">
    <w:name w:val="List Paragraph"/>
    <w:basedOn w:val="Normal"/>
    <w:uiPriority w:val="34"/>
    <w:qFormat/>
    <w:rsid w:val="004E763B"/>
    <w:pPr>
      <w:ind w:left="720"/>
      <w:contextualSpacing/>
    </w:pPr>
  </w:style>
  <w:style w:type="character" w:customStyle="1" w:styleId="Heading1Char">
    <w:name w:val="Heading 1 Char"/>
    <w:basedOn w:val="DefaultParagraphFont"/>
    <w:link w:val="Heading1"/>
    <w:uiPriority w:val="9"/>
    <w:rsid w:val="00971A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setsprod.microsoft.com/alternative-terms-for-incentives.pdf"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ssetsprod.microsoft.com/alternative-terms-for-incentives.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ssetsprod.microsoft.com/alternative-terms-for-incentives.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41629-D729-4944-A114-87E059625B17}">
  <ds:schemaRefs>
    <ds:schemaRef ds:uri="http://schemas.microsoft.com/sharepoint/v3/contenttype/forms"/>
  </ds:schemaRefs>
</ds:datastoreItem>
</file>

<file path=customXml/itemProps2.xml><?xml version="1.0" encoding="utf-8"?>
<ds:datastoreItem xmlns:ds="http://schemas.openxmlformats.org/officeDocument/2006/customXml" ds:itemID="{0CC1C86A-F527-4C4B-A39F-56456EE6AA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20FC37-8E15-498D-BCE3-CC9A26E14A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0E98A8-25EA-4D54-9A3B-756CE54E5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1692</Words>
  <Characters>10326</Characters>
  <Application>Microsoft Office Word</Application>
  <DocSecurity>0</DocSecurity>
  <Lines>194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Wolfe (CELA)</dc:creator>
  <cp:keywords/>
  <cp:lastModifiedBy>Daniel Lozano Navas</cp:lastModifiedBy>
  <cp:revision>14</cp:revision>
  <dcterms:created xsi:type="dcterms:W3CDTF">2020-08-03T07:35:00Z</dcterms:created>
  <dcterms:modified xsi:type="dcterms:W3CDTF">2020-09-21T14:54:00Z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