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6AAA" w14:textId="000562A0" w:rsid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technologies, products, and services are subject to US Export rules known as </w:t>
      </w:r>
      <w:hyperlink r:id="rId6" w:tgtFrame="_blank" w:history="1">
        <w:r w:rsidRPr="00641963">
          <w:rPr>
            <w:rFonts w:ascii="Segoe UI Light" w:eastAsia="Times New Roman" w:hAnsi="Segoe UI Light" w:cs="Segoe UI Light"/>
            <w:color w:val="1570A6"/>
            <w:sz w:val="24"/>
            <w:szCs w:val="24"/>
            <w:u w:val="single"/>
            <w:bdr w:val="none" w:sz="0" w:space="0" w:color="auto" w:frame="1"/>
            <w:lang w:val="en-US"/>
          </w:rPr>
          <w:t>Export Administration Regulations</w:t>
        </w:r>
      </w:hyperlink>
      <w:r w:rsidRPr="00641963">
        <w:rPr>
          <w:rFonts w:ascii="Segoe UI Light" w:eastAsia="Times New Roman" w:hAnsi="Segoe UI Light" w:cs="Segoe UI Light"/>
          <w:color w:val="000000"/>
          <w:sz w:val="24"/>
          <w:szCs w:val="24"/>
          <w:lang w:val="en-US"/>
        </w:rPr>
        <w:t> (EAR) and enforced by U.S. Department of Commerce </w:t>
      </w:r>
      <w:hyperlink r:id="rId7" w:tgtFrame="_blank" w:history="1">
        <w:r w:rsidRPr="00641963">
          <w:rPr>
            <w:rFonts w:ascii="Segoe UI Light" w:eastAsia="Times New Roman" w:hAnsi="Segoe UI Light" w:cs="Segoe UI Light"/>
            <w:color w:val="1570A6"/>
            <w:sz w:val="24"/>
            <w:szCs w:val="24"/>
            <w:u w:val="single"/>
            <w:bdr w:val="none" w:sz="0" w:space="0" w:color="auto" w:frame="1"/>
            <w:lang w:val="en-US"/>
          </w:rPr>
          <w:t>Bureau of Industry and Security</w:t>
        </w:r>
      </w:hyperlink>
      <w:r w:rsidRPr="00641963">
        <w:rPr>
          <w:rFonts w:ascii="Segoe UI Light" w:eastAsia="Times New Roman" w:hAnsi="Segoe UI Light" w:cs="Segoe UI Light"/>
          <w:color w:val="000000"/>
          <w:sz w:val="24"/>
          <w:szCs w:val="24"/>
          <w:lang w:val="en-US"/>
        </w:rPr>
        <w:t> (BIS).</w:t>
      </w:r>
    </w:p>
    <w:p w14:paraId="32A768B9" w14:textId="77777777" w:rsidR="00641963" w:rsidRP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0FF6A173" w14:textId="49206E5C" w:rsid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641963">
        <w:rPr>
          <w:rFonts w:ascii="Segoe UI Light" w:eastAsia="Times New Roman" w:hAnsi="Segoe UI Light" w:cs="Segoe UI Light"/>
          <w:color w:val="000000"/>
          <w:sz w:val="24"/>
          <w:szCs w:val="24"/>
          <w:lang w:val="en-US"/>
        </w:rPr>
        <w:t>Additionally, both the Department of Treasury and the Department of State regulate and control other types of export-related technology and product transfers and transactions. The </w:t>
      </w:r>
      <w:hyperlink r:id="rId8" w:tgtFrame="_blank" w:history="1">
        <w:r w:rsidRPr="00641963">
          <w:rPr>
            <w:rFonts w:ascii="Segoe UI Light" w:eastAsia="Times New Roman" w:hAnsi="Segoe UI Light" w:cs="Segoe UI Light"/>
            <w:color w:val="1570A6"/>
            <w:sz w:val="24"/>
            <w:szCs w:val="24"/>
            <w:u w:val="single"/>
            <w:bdr w:val="none" w:sz="0" w:space="0" w:color="auto" w:frame="1"/>
            <w:lang w:val="en-US"/>
          </w:rPr>
          <w:t>Office of Foreign Assets Control</w:t>
        </w:r>
      </w:hyperlink>
      <w:r w:rsidRPr="00641963">
        <w:rPr>
          <w:rFonts w:ascii="Segoe UI Light" w:eastAsia="Times New Roman" w:hAnsi="Segoe UI Light" w:cs="Segoe UI Light"/>
          <w:color w:val="000000"/>
          <w:sz w:val="24"/>
          <w:szCs w:val="24"/>
          <w:lang w:val="en-US"/>
        </w:rPr>
        <w:t> (OFAC) of the U.S. Department of the Treasury administers and enforces economic sanctions against certain countries and regimes, terrorists, and other threats to U.S. national security, foreign policy or economic interests.</w:t>
      </w:r>
    </w:p>
    <w:p w14:paraId="7C368D7E" w14:textId="77777777" w:rsidR="00641963" w:rsidRP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039C7A45" w14:textId="1C9ABE97" w:rsid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641963">
        <w:rPr>
          <w:rFonts w:ascii="Segoe UI Light" w:eastAsia="Times New Roman" w:hAnsi="Segoe UI Light" w:cs="Segoe UI Light"/>
          <w:color w:val="000000"/>
          <w:sz w:val="24"/>
          <w:szCs w:val="24"/>
          <w:lang w:val="en-US"/>
        </w:rPr>
        <w:t xml:space="preserve">It is </w:t>
      </w: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policy to comply with</w:t>
      </w:r>
      <w:bookmarkStart w:id="0" w:name="_GoBack"/>
      <w:bookmarkEnd w:id="0"/>
      <w:r w:rsidRPr="00641963">
        <w:rPr>
          <w:rFonts w:ascii="Segoe UI Light" w:eastAsia="Times New Roman" w:hAnsi="Segoe UI Light" w:cs="Segoe UI Light"/>
          <w:color w:val="000000"/>
          <w:sz w:val="24"/>
          <w:szCs w:val="24"/>
          <w:lang w:val="en-US"/>
        </w:rPr>
        <w:t xml:space="preserve"> EAR, OFAC rules, and the international </w:t>
      </w:r>
      <w:hyperlink r:id="rId9" w:tgtFrame="_blank" w:history="1">
        <w:r w:rsidRPr="00641963">
          <w:rPr>
            <w:rFonts w:ascii="Segoe UI Light" w:eastAsia="Times New Roman" w:hAnsi="Segoe UI Light" w:cs="Segoe UI Light"/>
            <w:color w:val="1570A6"/>
            <w:sz w:val="24"/>
            <w:szCs w:val="24"/>
            <w:u w:val="single"/>
            <w:bdr w:val="none" w:sz="0" w:space="0" w:color="auto" w:frame="1"/>
            <w:lang w:val="en-US"/>
          </w:rPr>
          <w:t>Wassenaar Arrangement</w:t>
        </w:r>
      </w:hyperlink>
      <w:r w:rsidRPr="00641963">
        <w:rPr>
          <w:rFonts w:ascii="Segoe UI Light" w:eastAsia="Times New Roman" w:hAnsi="Segoe UI Light" w:cs="Segoe UI Light"/>
          <w:color w:val="000000"/>
          <w:sz w:val="24"/>
          <w:szCs w:val="24"/>
          <w:lang w:val="en-US"/>
        </w:rPr>
        <w:t xml:space="preserve"> and to proceed with the proper classification of its products and services (which results in the determination of an ECCN – Export Control Classification Number) so that </w:t>
      </w: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products can be easily and readily exported to non-embargoed destinations while maintaining a high level of compliance.</w:t>
      </w:r>
    </w:p>
    <w:p w14:paraId="7013B85A" w14:textId="77777777" w:rsidR="00641963" w:rsidRP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p>
    <w:p w14:paraId="250B531A" w14:textId="2BA5BC9B" w:rsidR="00641963" w:rsidRPr="00641963" w:rsidRDefault="00641963" w:rsidP="00641963">
      <w:pPr>
        <w:spacing w:after="240" w:line="240" w:lineRule="auto"/>
        <w:jc w:val="both"/>
        <w:textAlignment w:val="baseline"/>
        <w:rPr>
          <w:rFonts w:ascii="Segoe UI Light" w:eastAsia="Times New Roman" w:hAnsi="Segoe UI Light" w:cs="Segoe UI Light"/>
          <w:color w:val="000000"/>
          <w:sz w:val="24"/>
          <w:szCs w:val="24"/>
          <w:lang w:val="en-US"/>
        </w:rPr>
      </w:pP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software products either are not subject to the EAR thus not on the Commerce Control List and have no ECCN, or they are EAR99, or are 5D992 Mass Market eligible for self-classification by </w:t>
      </w: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and may be exported to non-embargoed countries without a license as No License Required (NLR).</w:t>
      </w:r>
    </w:p>
    <w:p w14:paraId="3E7FE277" w14:textId="77777777" w:rsidR="00641963" w:rsidRPr="00641963" w:rsidRDefault="00641963" w:rsidP="00641963">
      <w:pPr>
        <w:spacing w:after="240" w:line="240" w:lineRule="auto"/>
        <w:jc w:val="both"/>
        <w:textAlignment w:val="baseline"/>
        <w:rPr>
          <w:rFonts w:ascii="Segoe UI Light" w:eastAsia="Times New Roman" w:hAnsi="Segoe UI Light" w:cs="Segoe UI Light"/>
          <w:color w:val="000000"/>
          <w:sz w:val="24"/>
          <w:szCs w:val="24"/>
          <w:lang w:val="en-US"/>
        </w:rPr>
      </w:pPr>
      <w:r w:rsidRPr="00641963">
        <w:rPr>
          <w:rFonts w:ascii="Segoe UI Light" w:eastAsia="Times New Roman" w:hAnsi="Segoe UI Light" w:cs="Segoe UI Light"/>
          <w:color w:val="000000"/>
          <w:sz w:val="24"/>
          <w:szCs w:val="24"/>
          <w:lang w:val="en-US"/>
        </w:rPr>
        <w:t>A few of the products have an ECCN assigned that may or may not require a license, and one should consult the EAR or legal counsel to determine the appropriate license type and eligible countries for export purposes.</w:t>
      </w:r>
    </w:p>
    <w:p w14:paraId="4B1FB6C9" w14:textId="37576060" w:rsidR="00641963" w:rsidRPr="00641963" w:rsidRDefault="00641963" w:rsidP="00641963">
      <w:pPr>
        <w:spacing w:after="0" w:line="240" w:lineRule="auto"/>
        <w:jc w:val="both"/>
        <w:textAlignment w:val="baseline"/>
        <w:rPr>
          <w:rFonts w:ascii="Segoe UI Light" w:eastAsia="Times New Roman" w:hAnsi="Segoe UI Light" w:cs="Segoe UI Light"/>
          <w:color w:val="000000"/>
          <w:sz w:val="24"/>
          <w:szCs w:val="24"/>
          <w:lang w:val="en-US"/>
        </w:rPr>
      </w:pPr>
      <w:r w:rsidRPr="00641963">
        <w:rPr>
          <w:rFonts w:ascii="Segoe UI Light" w:eastAsia="Times New Roman" w:hAnsi="Segoe UI Light" w:cs="Segoe UI Light"/>
          <w:color w:val="000000"/>
          <w:sz w:val="24"/>
          <w:szCs w:val="24"/>
          <w:lang w:val="en-US"/>
        </w:rPr>
        <w:t xml:space="preserve">Without limitation, parties acquiring software from </w:t>
      </w:r>
      <w:r>
        <w:rPr>
          <w:rFonts w:ascii="Segoe UI Light" w:eastAsia="Times New Roman" w:hAnsi="Segoe UI Light" w:cs="Segoe UI Light"/>
          <w:color w:val="000000"/>
          <w:sz w:val="24"/>
          <w:szCs w:val="24"/>
          <w:lang w:val="en-US"/>
        </w:rPr>
        <w:t>Fenix Alliance</w:t>
      </w:r>
      <w:r w:rsidRPr="00641963">
        <w:rPr>
          <w:rFonts w:ascii="Segoe UI Light" w:eastAsia="Times New Roman" w:hAnsi="Segoe UI Light" w:cs="Segoe UI Light"/>
          <w:color w:val="000000"/>
          <w:sz w:val="24"/>
          <w:szCs w:val="24"/>
          <w:lang w:val="en-US"/>
        </w:rPr>
        <w:t xml:space="preserve"> are responsible for obtaining all licenses or other approvals necessary for downloading or transfer of the software or use of the service. A party may not transfer the software or services without U.S. Government permission to (a) anyone on the U.S. Treasury Department’s lists of Specially Designated Nationals (including the Government of Iran, Government of Sudan, Government of Cuba, prohibited members of the Cuban Communist Party), or on the U.S. Commerce Department’s Denied Persons List, Entity List, or Unverified List, or on the U.S. State Department’s Debarred List or Nonproliferation List (see Commerce </w:t>
      </w:r>
      <w:hyperlink r:id="rId10" w:tgtFrame="_blank" w:history="1">
        <w:r w:rsidRPr="00641963">
          <w:rPr>
            <w:rFonts w:ascii="Segoe UI Light" w:eastAsia="Times New Roman" w:hAnsi="Segoe UI Light" w:cs="Segoe UI Light"/>
            <w:color w:val="1570A6"/>
            <w:sz w:val="24"/>
            <w:szCs w:val="24"/>
            <w:u w:val="single"/>
            <w:bdr w:val="none" w:sz="0" w:space="0" w:color="auto" w:frame="1"/>
            <w:lang w:val="en-US"/>
          </w:rPr>
          <w:t>Lists to Check</w:t>
        </w:r>
      </w:hyperlink>
      <w:r w:rsidRPr="00641963">
        <w:rPr>
          <w:rFonts w:ascii="Segoe UI Light" w:eastAsia="Times New Roman" w:hAnsi="Segoe UI Light" w:cs="Segoe UI Light"/>
          <w:color w:val="000000"/>
          <w:sz w:val="24"/>
          <w:szCs w:val="24"/>
          <w:lang w:val="en-US"/>
        </w:rPr>
        <w:t>); or (b) for use with chemical or biological weapons, sensitive nuclear end-uses, or missiles to deliver them.</w:t>
      </w:r>
    </w:p>
    <w:p w14:paraId="1C4BD659" w14:textId="77777777" w:rsidR="00092D6C" w:rsidRPr="00641963" w:rsidRDefault="00092D6C" w:rsidP="00641963">
      <w:pPr>
        <w:jc w:val="both"/>
        <w:rPr>
          <w:rFonts w:ascii="Segoe UI Light" w:hAnsi="Segoe UI Light" w:cs="Segoe UI Light"/>
        </w:rPr>
      </w:pPr>
    </w:p>
    <w:sectPr w:rsidR="00092D6C" w:rsidRPr="00641963" w:rsidSect="007233CF">
      <w:head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60E94" w14:textId="77777777" w:rsidR="0050289F" w:rsidRDefault="0050289F" w:rsidP="00641963">
      <w:pPr>
        <w:spacing w:after="0" w:line="240" w:lineRule="auto"/>
      </w:pPr>
      <w:r>
        <w:separator/>
      </w:r>
    </w:p>
  </w:endnote>
  <w:endnote w:type="continuationSeparator" w:id="0">
    <w:p w14:paraId="28669108" w14:textId="77777777" w:rsidR="0050289F" w:rsidRDefault="0050289F" w:rsidP="0064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70651" w14:textId="77777777" w:rsidR="0050289F" w:rsidRDefault="0050289F" w:rsidP="00641963">
      <w:pPr>
        <w:spacing w:after="0" w:line="240" w:lineRule="auto"/>
      </w:pPr>
      <w:r>
        <w:separator/>
      </w:r>
    </w:p>
  </w:footnote>
  <w:footnote w:type="continuationSeparator" w:id="0">
    <w:p w14:paraId="5F938D9A" w14:textId="77777777" w:rsidR="0050289F" w:rsidRDefault="0050289F" w:rsidP="0064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C2624" w14:textId="11A91016" w:rsidR="00641963" w:rsidRDefault="00641963">
    <w:pPr>
      <w:pStyle w:val="Header"/>
    </w:pPr>
    <w:r>
      <w:rPr>
        <w:noProof/>
      </w:rPr>
      <w:drawing>
        <wp:anchor distT="0" distB="0" distL="114300" distR="114300" simplePos="0" relativeHeight="251659264" behindDoc="0" locked="0" layoutInCell="1" allowOverlap="1" wp14:anchorId="1DDADC5C" wp14:editId="5DA8F869">
          <wp:simplePos x="0" y="0"/>
          <wp:positionH relativeFrom="column">
            <wp:posOffset>4270070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D6"/>
    <w:rsid w:val="00092D6C"/>
    <w:rsid w:val="0050289F"/>
    <w:rsid w:val="00641963"/>
    <w:rsid w:val="006A2ED6"/>
    <w:rsid w:val="007233CF"/>
    <w:rsid w:val="00911C9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BC77B"/>
  <w15:chartTrackingRefBased/>
  <w15:docId w15:val="{81E1D07B-37A3-4E20-B81A-14D46A30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9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41963"/>
    <w:rPr>
      <w:color w:val="0000FF"/>
      <w:u w:val="single"/>
    </w:rPr>
  </w:style>
  <w:style w:type="paragraph" w:styleId="Header">
    <w:name w:val="header"/>
    <w:basedOn w:val="Normal"/>
    <w:link w:val="HeaderChar"/>
    <w:uiPriority w:val="99"/>
    <w:unhideWhenUsed/>
    <w:rsid w:val="006419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1963"/>
    <w:rPr>
      <w:lang w:val="es-CO"/>
    </w:rPr>
  </w:style>
  <w:style w:type="paragraph" w:styleId="Footer">
    <w:name w:val="footer"/>
    <w:basedOn w:val="Normal"/>
    <w:link w:val="FooterChar"/>
    <w:uiPriority w:val="99"/>
    <w:unhideWhenUsed/>
    <w:rsid w:val="006419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1963"/>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55339">
      <w:bodyDiv w:val="1"/>
      <w:marLeft w:val="0"/>
      <w:marRight w:val="0"/>
      <w:marTop w:val="0"/>
      <w:marBottom w:val="0"/>
      <w:divBdr>
        <w:top w:val="none" w:sz="0" w:space="0" w:color="auto"/>
        <w:left w:val="none" w:sz="0" w:space="0" w:color="auto"/>
        <w:bottom w:val="none" w:sz="0" w:space="0" w:color="auto"/>
        <w:right w:val="none" w:sz="0" w:space="0" w:color="auto"/>
      </w:divBdr>
    </w:div>
    <w:div w:id="16855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as.gov/offices/enforcement/ofac/index.s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is.doc.gov/" TargetMode="Externa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www.access.gpo.gov/bis/ear/ear_data.htm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yperlink" Target="http://www.bis.doc.gov/complianceandenforcement/liststocheck.htm" TargetMode="External"/><Relationship Id="rId4" Type="http://schemas.openxmlformats.org/officeDocument/2006/relationships/footnotes" Target="footnotes.xml"/><Relationship Id="rId9" Type="http://schemas.openxmlformats.org/officeDocument/2006/relationships/hyperlink" Target="http://www.wassenaar.org/" TargetMode="Externa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8C7AE1-4F15-4DEF-8345-3132D4B7BC57}"/>
</file>

<file path=customXml/itemProps2.xml><?xml version="1.0" encoding="utf-8"?>
<ds:datastoreItem xmlns:ds="http://schemas.openxmlformats.org/officeDocument/2006/customXml" ds:itemID="{9AC43C0F-2987-4D83-AC61-C606D38B1F36}"/>
</file>

<file path=customXml/itemProps3.xml><?xml version="1.0" encoding="utf-8"?>
<ds:datastoreItem xmlns:ds="http://schemas.openxmlformats.org/officeDocument/2006/customXml" ds:itemID="{2EAC7BA5-A9F5-44C6-97C7-98DAE09B7D1C}"/>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2</cp:revision>
  <dcterms:created xsi:type="dcterms:W3CDTF">2020-09-21T03:27:00Z</dcterms:created>
  <dcterms:modified xsi:type="dcterms:W3CDTF">2020-09-21T03:30:00Z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