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68B9" w14:textId="244E2DFB" w:rsid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sidRPr="00052B3C">
        <w:rPr>
          <w:rFonts w:ascii="Segoe UI Light" w:hAnsi="Segoe UI Light" w:cs="Segoe UI Light"/>
          <w:color w:val="000000"/>
          <w:sz w:val="24"/>
          <w:szCs w:val="24"/>
          <w:lang w:val="es"/>
        </w:rPr>
        <w:t xml:space="preserve">Las tecnologías, productos y servicios de Fenix Alliance están sujetos a las normas de exportación </w:t>
      </w:r>
      <w:r w:rsidRPr="00052B3C">
        <w:rPr>
          <w:rFonts w:ascii="Segoe UI Light" w:hAnsi="Segoe UI Light" w:cs="Segoe UI Light"/>
          <w:sz w:val="24"/>
          <w:szCs w:val="24"/>
          <w:lang w:val="es"/>
        </w:rPr>
        <w:t xml:space="preserve">de los Estados Unidos conocidas como </w:t>
      </w:r>
      <w:hyperlink r:id="rId9" w:history="1">
        <w:r w:rsidRPr="00E34BFD">
          <w:rPr>
            <w:rStyle w:val="Hyperlink"/>
            <w:rFonts w:ascii="Segoe UI Light" w:hAnsi="Segoe UI Light" w:cs="Segoe UI Light"/>
            <w:color w:val="2E74B5" w:themeColor="accent5" w:themeShade="BF"/>
            <w:sz w:val="24"/>
            <w:szCs w:val="24"/>
            <w:bdr w:val="none" w:sz="0" w:space="0" w:color="auto" w:frame="1"/>
            <w:lang w:val="es"/>
          </w:rPr>
          <w:t>Regulaciones de Administración</w:t>
        </w:r>
        <w:r w:rsidRPr="00E34BFD">
          <w:rPr>
            <w:rStyle w:val="Hyperlink"/>
            <w:rFonts w:ascii="Segoe UI Light" w:hAnsi="Segoe UI Light" w:cs="Segoe UI Light"/>
            <w:color w:val="2E74B5" w:themeColor="accent5" w:themeShade="BF"/>
            <w:sz w:val="24"/>
            <w:szCs w:val="24"/>
            <w:lang w:val="es"/>
          </w:rPr>
          <w:t xml:space="preserve"> de Exportaciones (EAR)</w:t>
        </w:r>
      </w:hyperlink>
      <w:r w:rsidRPr="00052B3C">
        <w:rPr>
          <w:rFonts w:ascii="Segoe UI Light" w:hAnsi="Segoe UI Light" w:cs="Segoe UI Light"/>
          <w:color w:val="000000"/>
          <w:sz w:val="24"/>
          <w:szCs w:val="24"/>
          <w:lang w:val="es"/>
        </w:rPr>
        <w:t xml:space="preserve"> y son aplicadas por </w:t>
      </w:r>
      <w:r w:rsidRPr="00052B3C">
        <w:rPr>
          <w:rFonts w:ascii="Segoe UI Light" w:hAnsi="Segoe UI Light" w:cs="Segoe UI Light"/>
          <w:sz w:val="24"/>
          <w:szCs w:val="24"/>
          <w:lang w:val="es"/>
        </w:rPr>
        <w:t xml:space="preserve">la </w:t>
      </w:r>
      <w:hyperlink r:id="rId10" w:history="1">
        <w:r w:rsidRPr="00E34BFD">
          <w:rPr>
            <w:rStyle w:val="Hyperlink"/>
            <w:rFonts w:ascii="Segoe UI Light" w:hAnsi="Segoe UI Light" w:cs="Segoe UI Light"/>
            <w:color w:val="2E74B5" w:themeColor="accent5" w:themeShade="BF"/>
            <w:sz w:val="24"/>
            <w:szCs w:val="24"/>
            <w:lang w:val="es"/>
          </w:rPr>
          <w:t xml:space="preserve">Oficina de Industria y Seguridad (BIS) del Departamento de Comercio </w:t>
        </w:r>
        <w:r w:rsidRPr="00E34BFD">
          <w:rPr>
            <w:rStyle w:val="Hyperlink"/>
            <w:rFonts w:ascii="Segoe UI Light" w:hAnsi="Segoe UI Light" w:cs="Segoe UI Light"/>
            <w:color w:val="2E74B5" w:themeColor="accent5" w:themeShade="BF"/>
            <w:sz w:val="24"/>
            <w:szCs w:val="24"/>
            <w:bdr w:val="none" w:sz="0" w:space="0" w:color="auto" w:frame="1"/>
            <w:lang w:val="es"/>
          </w:rPr>
          <w:t>de</w:t>
        </w:r>
        <w:r w:rsidRPr="00E34BFD">
          <w:rPr>
            <w:rStyle w:val="Hyperlink"/>
            <w:rFonts w:ascii="Segoe UI Light" w:hAnsi="Segoe UI Light" w:cs="Segoe UI Light"/>
            <w:color w:val="2E74B5" w:themeColor="accent5" w:themeShade="BF"/>
            <w:sz w:val="24"/>
            <w:szCs w:val="24"/>
            <w:lang w:val="es"/>
          </w:rPr>
          <w:t xml:space="preserve"> los Estados Unidos</w:t>
        </w:r>
      </w:hyperlink>
      <w:r w:rsidR="00E34BFD">
        <w:rPr>
          <w:rFonts w:ascii="Segoe UI Light" w:eastAsia="Times New Roman" w:hAnsi="Segoe UI Light" w:cs="Segoe UI Light"/>
          <w:color w:val="000000"/>
          <w:sz w:val="24"/>
          <w:szCs w:val="24"/>
          <w:lang w:val="en-US"/>
        </w:rPr>
        <w:t>.</w:t>
      </w:r>
    </w:p>
    <w:p w14:paraId="7AB66698" w14:textId="77777777" w:rsidR="00E34BFD" w:rsidRPr="00052B3C" w:rsidRDefault="00E34BFD" w:rsidP="00641963">
      <w:pPr>
        <w:spacing w:after="0" w:line="240" w:lineRule="auto"/>
        <w:jc w:val="both"/>
        <w:textAlignment w:val="baseline"/>
        <w:rPr>
          <w:rFonts w:ascii="Segoe UI Light" w:eastAsia="Times New Roman" w:hAnsi="Segoe UI Light" w:cs="Segoe UI Light"/>
          <w:color w:val="000000"/>
          <w:sz w:val="24"/>
          <w:szCs w:val="24"/>
          <w:lang w:val="en-US"/>
        </w:rPr>
      </w:pPr>
    </w:p>
    <w:p w14:paraId="0FF6A173" w14:textId="42B349DD" w:rsidR="00641963" w:rsidRPr="00052B3C"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sidRPr="00052B3C">
        <w:rPr>
          <w:rFonts w:ascii="Segoe UI Light" w:hAnsi="Segoe UI Light" w:cs="Segoe UI Light"/>
          <w:color w:val="000000"/>
          <w:sz w:val="24"/>
          <w:szCs w:val="24"/>
          <w:lang w:val="es"/>
        </w:rPr>
        <w:t xml:space="preserve">Además, tanto el Departamento del Tesoro como el Departamento de Estado regulan y controlan otros tipos de tecnología relacionada con la exportación y transferencias y transacciones de productos. La </w:t>
      </w:r>
      <w:hyperlink r:id="rId11" w:tgtFrame="_blank" w:history="1">
        <w:r w:rsidRPr="00052B3C">
          <w:rPr>
            <w:rFonts w:ascii="Segoe UI Light" w:hAnsi="Segoe UI Light" w:cs="Segoe UI Light"/>
            <w:color w:val="1570A6"/>
            <w:sz w:val="24"/>
            <w:szCs w:val="24"/>
            <w:u w:val="single"/>
            <w:bdr w:val="none" w:sz="0" w:space="0" w:color="auto" w:frame="1"/>
            <w:lang w:val="es"/>
          </w:rPr>
          <w:t>Oficina de Control de Activos Extranjeros</w:t>
        </w:r>
      </w:hyperlink>
      <w:r w:rsidRPr="00052B3C">
        <w:rPr>
          <w:rFonts w:ascii="Segoe UI Light" w:hAnsi="Segoe UI Light" w:cs="Segoe UI Light"/>
          <w:sz w:val="24"/>
          <w:szCs w:val="24"/>
          <w:lang w:val="es"/>
        </w:rPr>
        <w:t xml:space="preserve"> </w:t>
      </w:r>
      <w:r w:rsidRPr="00052B3C">
        <w:rPr>
          <w:rFonts w:ascii="Segoe UI Light" w:hAnsi="Segoe UI Light" w:cs="Segoe UI Light"/>
          <w:color w:val="000000"/>
          <w:sz w:val="24"/>
          <w:szCs w:val="24"/>
          <w:lang w:val="es"/>
        </w:rPr>
        <w:t xml:space="preserve"> (OFAC) del Departamento del Tesoro de los Estados Unidos administra y aplica sanciones económicas contra ciertos países y regímenes, terroristas y otras amenazas a la seguridad nacional, la política exterior o los intereses económicos de Estados Unidos.</w:t>
      </w:r>
    </w:p>
    <w:p w14:paraId="7C368D7E" w14:textId="77777777" w:rsidR="00641963" w:rsidRPr="00052B3C"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p>
    <w:p w14:paraId="039C7A45" w14:textId="4042F278" w:rsidR="00641963" w:rsidRPr="00052B3C"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sidRPr="00052B3C">
        <w:rPr>
          <w:rFonts w:ascii="Segoe UI Light" w:hAnsi="Segoe UI Light" w:cs="Segoe UI Light"/>
          <w:color w:val="000000"/>
          <w:sz w:val="24"/>
          <w:szCs w:val="24"/>
          <w:lang w:val="es"/>
        </w:rPr>
        <w:t>La política de F</w:t>
      </w:r>
      <w:r w:rsidR="00E34BFD">
        <w:rPr>
          <w:rFonts w:ascii="Segoe UI Light" w:hAnsi="Segoe UI Light" w:cs="Segoe UI Light"/>
          <w:color w:val="000000"/>
          <w:sz w:val="24"/>
          <w:szCs w:val="24"/>
          <w:lang w:val="es"/>
        </w:rPr>
        <w:t>e</w:t>
      </w:r>
      <w:r w:rsidRPr="00052B3C">
        <w:rPr>
          <w:rFonts w:ascii="Segoe UI Light" w:hAnsi="Segoe UI Light" w:cs="Segoe UI Light"/>
          <w:color w:val="000000"/>
          <w:sz w:val="24"/>
          <w:szCs w:val="24"/>
          <w:lang w:val="es"/>
        </w:rPr>
        <w:t>nix Alliance</w:t>
      </w:r>
      <w:r w:rsidRPr="00052B3C">
        <w:rPr>
          <w:rFonts w:ascii="Segoe UI Light" w:hAnsi="Segoe UI Light" w:cs="Segoe UI Light"/>
          <w:sz w:val="24"/>
          <w:szCs w:val="24"/>
          <w:lang w:val="es"/>
        </w:rPr>
        <w:t xml:space="preserve"> es</w:t>
      </w:r>
      <w:r w:rsidRPr="00052B3C">
        <w:rPr>
          <w:rFonts w:ascii="Segoe UI Light" w:hAnsi="Segoe UI Light" w:cs="Segoe UI Light"/>
          <w:color w:val="000000"/>
          <w:sz w:val="24"/>
          <w:szCs w:val="24"/>
          <w:lang w:val="es"/>
        </w:rPr>
        <w:t xml:space="preserve"> cumplir con las normas EAR, OFAC y el </w:t>
      </w:r>
      <w:r w:rsidRPr="00052B3C">
        <w:rPr>
          <w:rFonts w:ascii="Segoe UI Light" w:hAnsi="Segoe UI Light" w:cs="Segoe UI Light"/>
          <w:sz w:val="24"/>
          <w:szCs w:val="24"/>
          <w:lang w:val="es"/>
        </w:rPr>
        <w:t xml:space="preserve">Acuerdo Internacional de </w:t>
      </w:r>
      <w:hyperlink r:id="rId12" w:tgtFrame="_blank" w:history="1">
        <w:r w:rsidRPr="00052B3C">
          <w:rPr>
            <w:rFonts w:ascii="Segoe UI Light" w:hAnsi="Segoe UI Light" w:cs="Segoe UI Light"/>
            <w:color w:val="1570A6"/>
            <w:sz w:val="24"/>
            <w:szCs w:val="24"/>
            <w:u w:val="single"/>
            <w:bdr w:val="none" w:sz="0" w:space="0" w:color="auto" w:frame="1"/>
            <w:lang w:val="es"/>
          </w:rPr>
          <w:t>Wassenaar</w:t>
        </w:r>
      </w:hyperlink>
      <w:r w:rsidRPr="00052B3C">
        <w:rPr>
          <w:rFonts w:ascii="Segoe UI Light" w:hAnsi="Segoe UI Light" w:cs="Segoe UI Light"/>
          <w:sz w:val="24"/>
          <w:szCs w:val="24"/>
          <w:lang w:val="es"/>
        </w:rPr>
        <w:t xml:space="preserve"> </w:t>
      </w:r>
      <w:r w:rsidRPr="00052B3C">
        <w:rPr>
          <w:rFonts w:ascii="Segoe UI Light" w:hAnsi="Segoe UI Light" w:cs="Segoe UI Light"/>
          <w:color w:val="000000"/>
          <w:sz w:val="24"/>
          <w:szCs w:val="24"/>
          <w:lang w:val="es"/>
        </w:rPr>
        <w:t xml:space="preserve"> y proceder a la clasificación adecuada de sus productos y servicios (lo que resulta en la determinación de un ECCN – Número de Clasificación de Control de Exportaciones) para que </w:t>
      </w:r>
      <w:r w:rsidRPr="00052B3C">
        <w:rPr>
          <w:rFonts w:ascii="Segoe UI Light" w:hAnsi="Segoe UI Light" w:cs="Segoe UI Light"/>
          <w:sz w:val="24"/>
          <w:szCs w:val="24"/>
          <w:lang w:val="es"/>
        </w:rPr>
        <w:t xml:space="preserve">los productos de </w:t>
      </w:r>
      <w:r w:rsidRPr="00052B3C">
        <w:rPr>
          <w:rFonts w:ascii="Segoe UI Light" w:hAnsi="Segoe UI Light" w:cs="Segoe UI Light"/>
          <w:color w:val="000000"/>
          <w:sz w:val="24"/>
          <w:szCs w:val="24"/>
          <w:lang w:val="es"/>
        </w:rPr>
        <w:t>Fenix Alliance</w:t>
      </w:r>
      <w:r w:rsidRPr="00052B3C">
        <w:rPr>
          <w:rFonts w:ascii="Segoe UI Light" w:hAnsi="Segoe UI Light" w:cs="Segoe UI Light"/>
          <w:sz w:val="24"/>
          <w:szCs w:val="24"/>
          <w:lang w:val="es"/>
        </w:rPr>
        <w:t xml:space="preserve"> </w:t>
      </w:r>
      <w:r w:rsidRPr="00052B3C">
        <w:rPr>
          <w:rFonts w:ascii="Segoe UI Light" w:hAnsi="Segoe UI Light" w:cs="Segoe UI Light"/>
          <w:color w:val="000000"/>
          <w:sz w:val="24"/>
          <w:szCs w:val="24"/>
          <w:lang w:val="es"/>
        </w:rPr>
        <w:t xml:space="preserve"> puedan ser exportados fácil y fácilmente a destinos no embargados mientras se mantiene un alto nivel de cumplimiento.</w:t>
      </w:r>
    </w:p>
    <w:p w14:paraId="7013B85A" w14:textId="77777777" w:rsidR="00641963" w:rsidRPr="00052B3C"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p>
    <w:p w14:paraId="250B531A" w14:textId="5CB17E3C" w:rsidR="00641963" w:rsidRPr="00052B3C" w:rsidRDefault="00641963" w:rsidP="00641963">
      <w:pPr>
        <w:spacing w:after="240" w:line="240" w:lineRule="auto"/>
        <w:jc w:val="both"/>
        <w:textAlignment w:val="baseline"/>
        <w:rPr>
          <w:rFonts w:ascii="Segoe UI Light" w:eastAsia="Times New Roman" w:hAnsi="Segoe UI Light" w:cs="Segoe UI Light"/>
          <w:color w:val="000000"/>
          <w:sz w:val="24"/>
          <w:szCs w:val="24"/>
          <w:lang w:val="en-US"/>
        </w:rPr>
      </w:pPr>
      <w:r w:rsidRPr="00052B3C">
        <w:rPr>
          <w:rFonts w:ascii="Segoe UI Light" w:hAnsi="Segoe UI Light" w:cs="Segoe UI Light"/>
          <w:color w:val="000000"/>
          <w:sz w:val="24"/>
          <w:szCs w:val="24"/>
          <w:lang w:val="es"/>
        </w:rPr>
        <w:t xml:space="preserve">Los productos de software de Fenix Alliance no están sujetos a la EAR, por lo tanto, no están en la Lista de Control de Comercio y no tienen ECCN, o son EAR99, o son 5D992 Mass Market elegibles para la </w:t>
      </w:r>
      <w:r w:rsidR="00052B3C" w:rsidRPr="00052B3C">
        <w:rPr>
          <w:rFonts w:ascii="Segoe UI Light" w:hAnsi="Segoe UI Light" w:cs="Segoe UI Light"/>
          <w:color w:val="000000"/>
          <w:sz w:val="24"/>
          <w:szCs w:val="24"/>
          <w:lang w:val="es"/>
        </w:rPr>
        <w:t>auto clasificación</w:t>
      </w:r>
      <w:r w:rsidRPr="00052B3C">
        <w:rPr>
          <w:rFonts w:ascii="Segoe UI Light" w:hAnsi="Segoe UI Light" w:cs="Segoe UI Light"/>
          <w:color w:val="000000"/>
          <w:sz w:val="24"/>
          <w:szCs w:val="24"/>
          <w:lang w:val="es"/>
        </w:rPr>
        <w:t xml:space="preserve"> </w:t>
      </w:r>
      <w:r w:rsidR="00052B3C" w:rsidRPr="00052B3C">
        <w:rPr>
          <w:rFonts w:ascii="Segoe UI Light" w:hAnsi="Segoe UI Light" w:cs="Segoe UI Light"/>
          <w:color w:val="000000"/>
          <w:sz w:val="24"/>
          <w:szCs w:val="24"/>
          <w:lang w:val="es"/>
        </w:rPr>
        <w:t xml:space="preserve">por </w:t>
      </w:r>
      <w:r w:rsidR="00052B3C" w:rsidRPr="00052B3C">
        <w:rPr>
          <w:rFonts w:ascii="Segoe UI Light" w:hAnsi="Segoe UI Light" w:cs="Segoe UI Light"/>
          <w:sz w:val="24"/>
          <w:szCs w:val="24"/>
          <w:lang w:val="es"/>
        </w:rPr>
        <w:t>Fenix</w:t>
      </w:r>
      <w:r w:rsidRPr="00052B3C">
        <w:rPr>
          <w:rFonts w:ascii="Segoe UI Light" w:hAnsi="Segoe UI Light" w:cs="Segoe UI Light"/>
          <w:color w:val="000000"/>
          <w:sz w:val="24"/>
          <w:szCs w:val="24"/>
          <w:lang w:val="es"/>
        </w:rPr>
        <w:t xml:space="preserve"> Alliance</w:t>
      </w:r>
      <w:r w:rsidRPr="00052B3C">
        <w:rPr>
          <w:rFonts w:ascii="Segoe UI Light" w:hAnsi="Segoe UI Light" w:cs="Segoe UI Light"/>
          <w:sz w:val="24"/>
          <w:szCs w:val="24"/>
          <w:lang w:val="es"/>
        </w:rPr>
        <w:t xml:space="preserve"> y pueden ser</w:t>
      </w:r>
      <w:r w:rsidRPr="00052B3C">
        <w:rPr>
          <w:rFonts w:ascii="Segoe UI Light" w:hAnsi="Segoe UI Light" w:cs="Segoe UI Light"/>
          <w:color w:val="000000"/>
          <w:sz w:val="24"/>
          <w:szCs w:val="24"/>
          <w:lang w:val="es"/>
        </w:rPr>
        <w:t xml:space="preserve"> exportados a países no embargados sin licencia como No License Required (NLR).</w:t>
      </w:r>
    </w:p>
    <w:p w14:paraId="3E7FE277" w14:textId="77777777" w:rsidR="00641963" w:rsidRPr="00052B3C" w:rsidRDefault="00641963" w:rsidP="00641963">
      <w:pPr>
        <w:spacing w:after="240" w:line="240" w:lineRule="auto"/>
        <w:jc w:val="both"/>
        <w:textAlignment w:val="baseline"/>
        <w:rPr>
          <w:rFonts w:ascii="Segoe UI Light" w:eastAsia="Times New Roman" w:hAnsi="Segoe UI Light" w:cs="Segoe UI Light"/>
          <w:color w:val="000000"/>
          <w:sz w:val="24"/>
          <w:szCs w:val="24"/>
          <w:lang w:val="en-US"/>
        </w:rPr>
      </w:pPr>
      <w:r w:rsidRPr="00052B3C">
        <w:rPr>
          <w:rFonts w:ascii="Segoe UI Light" w:hAnsi="Segoe UI Light" w:cs="Segoe UI Light"/>
          <w:color w:val="000000"/>
          <w:sz w:val="24"/>
          <w:szCs w:val="24"/>
          <w:lang w:val="es"/>
        </w:rPr>
        <w:t>Algunos de los productos tienen una ECCN asignada que puede o no requerir una licencia, y uno debe consultar a la EAR o asesor legal para determinar el tipo de licencia apropiado y los países elegibles para fines de exportación.</w:t>
      </w:r>
    </w:p>
    <w:p w14:paraId="4B1FB6C9" w14:textId="1D04C3E6" w:rsidR="00641963" w:rsidRPr="00052B3C"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sidRPr="00052B3C">
        <w:rPr>
          <w:rFonts w:ascii="Segoe UI Light" w:hAnsi="Segoe UI Light" w:cs="Segoe UI Light"/>
          <w:color w:val="000000"/>
          <w:sz w:val="24"/>
          <w:szCs w:val="24"/>
          <w:lang w:val="es"/>
        </w:rPr>
        <w:t xml:space="preserve">Sin limitación, las partes que adquieran software de Fenix </w:t>
      </w:r>
      <w:r w:rsidR="00052B3C" w:rsidRPr="00052B3C">
        <w:rPr>
          <w:rFonts w:ascii="Segoe UI Light" w:hAnsi="Segoe UI Light" w:cs="Segoe UI Light"/>
          <w:color w:val="000000"/>
          <w:sz w:val="24"/>
          <w:szCs w:val="24"/>
          <w:lang w:val="es"/>
        </w:rPr>
        <w:t>Alliance</w:t>
      </w:r>
      <w:r w:rsidR="00052B3C" w:rsidRPr="00052B3C">
        <w:rPr>
          <w:rFonts w:ascii="Segoe UI Light" w:hAnsi="Segoe UI Light" w:cs="Segoe UI Light"/>
          <w:sz w:val="24"/>
          <w:szCs w:val="24"/>
          <w:lang w:val="es"/>
        </w:rPr>
        <w:t xml:space="preserve"> </w:t>
      </w:r>
      <w:r w:rsidR="00052B3C" w:rsidRPr="00052B3C">
        <w:rPr>
          <w:rFonts w:ascii="Segoe UI Light" w:hAnsi="Segoe UI Light" w:cs="Segoe UI Light"/>
          <w:color w:val="000000"/>
          <w:sz w:val="24"/>
          <w:szCs w:val="24"/>
          <w:lang w:val="es"/>
        </w:rPr>
        <w:t>son</w:t>
      </w:r>
      <w:r w:rsidRPr="00052B3C">
        <w:rPr>
          <w:rFonts w:ascii="Segoe UI Light" w:hAnsi="Segoe UI Light" w:cs="Segoe UI Light"/>
          <w:color w:val="000000"/>
          <w:sz w:val="24"/>
          <w:szCs w:val="24"/>
          <w:lang w:val="es"/>
        </w:rPr>
        <w:t xml:space="preserve"> responsables de obtener todas las licencias u otras aprobaciones necesarias para descargar o transferir el software o el uso del servicio. Una parte no puede transferir el software o los servicios sin EE. UU. Permiso del gobierno para (a) cualquier persona en las listas de Nacionales Especialmente Designados del Departamento del Tesoro de los Estados Unidos (incluyendo el Gobierno de Irán, </w:t>
      </w:r>
      <w:bookmarkStart w:id="0" w:name="_GoBack"/>
      <w:bookmarkEnd w:id="0"/>
      <w:r w:rsidRPr="00052B3C">
        <w:rPr>
          <w:rFonts w:ascii="Segoe UI Light" w:hAnsi="Segoe UI Light" w:cs="Segoe UI Light"/>
          <w:color w:val="000000"/>
          <w:sz w:val="24"/>
          <w:szCs w:val="24"/>
          <w:lang w:val="es"/>
        </w:rPr>
        <w:t xml:space="preserve">el Gobierno de Sudán, el Gobierno de Cuba, los miembros prohibidos del Partido Comunista Cubano), o en la Lista de Personas Denegadas, Lista de Personas o Lista No Verificada del Departamento de Estado </w:t>
      </w:r>
      <w:r w:rsidRPr="00052B3C">
        <w:rPr>
          <w:rFonts w:ascii="Segoe UI Light" w:hAnsi="Segoe UI Light" w:cs="Segoe UI Light"/>
          <w:sz w:val="24"/>
          <w:szCs w:val="24"/>
          <w:lang w:val="es"/>
        </w:rPr>
        <w:t xml:space="preserve"> </w:t>
      </w:r>
      <w:r w:rsidR="00831009">
        <w:rPr>
          <w:rFonts w:ascii="Segoe UI Light" w:hAnsi="Segoe UI Light" w:cs="Segoe UI Light"/>
          <w:sz w:val="24"/>
          <w:szCs w:val="24"/>
          <w:lang w:val="es"/>
        </w:rPr>
        <w:t>(</w:t>
      </w:r>
      <w:hyperlink r:id="rId13" w:tgtFrame="_blank" w:history="1">
        <w:r w:rsidRPr="00052B3C">
          <w:rPr>
            <w:rFonts w:ascii="Segoe UI Light" w:hAnsi="Segoe UI Light" w:cs="Segoe UI Light"/>
            <w:color w:val="1570A6"/>
            <w:sz w:val="24"/>
            <w:szCs w:val="24"/>
            <w:u w:val="single"/>
            <w:bdr w:val="none" w:sz="0" w:space="0" w:color="auto" w:frame="1"/>
            <w:lang w:val="es"/>
          </w:rPr>
          <w:t>Lists to Check</w:t>
        </w:r>
      </w:hyperlink>
      <w:r w:rsidR="00831009">
        <w:rPr>
          <w:rFonts w:ascii="Segoe UI Light" w:hAnsi="Segoe UI Light" w:cs="Segoe UI Light"/>
          <w:sz w:val="24"/>
          <w:szCs w:val="24"/>
          <w:lang w:val="es"/>
        </w:rPr>
        <w:t xml:space="preserve">) </w:t>
      </w:r>
      <w:r w:rsidR="00052B3C">
        <w:rPr>
          <w:rFonts w:ascii="Segoe UI Light" w:hAnsi="Segoe UI Light" w:cs="Segoe UI Light"/>
          <w:sz w:val="24"/>
          <w:szCs w:val="24"/>
          <w:lang w:val="es"/>
        </w:rPr>
        <w:t>d</w:t>
      </w:r>
      <w:r w:rsidRPr="00052B3C">
        <w:rPr>
          <w:rFonts w:ascii="Segoe UI Light" w:hAnsi="Segoe UI Light" w:cs="Segoe UI Light"/>
          <w:sz w:val="24"/>
          <w:szCs w:val="24"/>
          <w:lang w:val="es"/>
        </w:rPr>
        <w:t xml:space="preserve">e los Estados Unidos </w:t>
      </w:r>
      <w:r w:rsidR="00052B3C">
        <w:rPr>
          <w:rFonts w:ascii="Segoe UI Light" w:hAnsi="Segoe UI Light" w:cs="Segoe UI Light"/>
          <w:sz w:val="24"/>
          <w:szCs w:val="24"/>
          <w:lang w:val="es"/>
        </w:rPr>
        <w:t xml:space="preserve">o </w:t>
      </w:r>
      <w:r w:rsidRPr="00052B3C">
        <w:rPr>
          <w:rFonts w:ascii="Segoe UI Light" w:hAnsi="Segoe UI Light" w:cs="Segoe UI Light"/>
          <w:sz w:val="24"/>
          <w:szCs w:val="24"/>
          <w:lang w:val="es"/>
        </w:rPr>
        <w:t>(</w:t>
      </w:r>
      <w:r w:rsidRPr="00052B3C">
        <w:rPr>
          <w:rFonts w:ascii="Segoe UI Light" w:hAnsi="Segoe UI Light" w:cs="Segoe UI Light"/>
          <w:color w:val="000000"/>
          <w:sz w:val="24"/>
          <w:szCs w:val="24"/>
          <w:lang w:val="es"/>
        </w:rPr>
        <w:t>b) para su uso con armas químicas o biológicas, usos finales nucleares sensibles o misiles para entregarlas.</w:t>
      </w:r>
    </w:p>
    <w:p w14:paraId="1C4BD659" w14:textId="5D934D7C" w:rsidR="00092D6C" w:rsidRPr="00052B3C" w:rsidRDefault="00092D6C" w:rsidP="00641963">
      <w:pPr>
        <w:jc w:val="both"/>
        <w:rPr>
          <w:rFonts w:ascii="Segoe UI Light" w:hAnsi="Segoe UI Light" w:cs="Segoe UI Light"/>
          <w:sz w:val="24"/>
          <w:szCs w:val="24"/>
        </w:rPr>
      </w:pPr>
    </w:p>
    <w:sectPr w:rsidR="00092D6C" w:rsidRPr="00052B3C" w:rsidSect="007233CF">
      <w:head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94C0F" w14:textId="77777777" w:rsidR="00641963" w:rsidRDefault="00641963" w:rsidP="00641963">
      <w:pPr>
        <w:spacing w:after="0" w:line="240" w:lineRule="auto"/>
      </w:pPr>
      <w:r>
        <w:rPr>
          <w:lang w:val="es"/>
        </w:rPr>
        <w:separator/>
      </w:r>
    </w:p>
  </w:endnote>
  <w:endnote w:type="continuationSeparator" w:id="0">
    <w:p w14:paraId="1DB04B81" w14:textId="77777777" w:rsidR="00641963" w:rsidRDefault="00641963" w:rsidP="00641963">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9D350" w14:textId="77777777" w:rsidR="00641963" w:rsidRDefault="00641963" w:rsidP="00641963">
      <w:pPr>
        <w:spacing w:after="0" w:line="240" w:lineRule="auto"/>
      </w:pPr>
      <w:r>
        <w:rPr>
          <w:lang w:val="es"/>
        </w:rPr>
        <w:separator/>
      </w:r>
    </w:p>
  </w:footnote>
  <w:footnote w:type="continuationSeparator" w:id="0">
    <w:p w14:paraId="3EA25DA1" w14:textId="77777777" w:rsidR="00641963" w:rsidRDefault="00641963" w:rsidP="00641963">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2624" w14:textId="11A91016" w:rsidR="00641963" w:rsidRDefault="00641963">
    <w:pPr>
      <w:pStyle w:val="Header"/>
    </w:pPr>
    <w:r>
      <w:rPr>
        <w:noProof/>
        <w:lang w:val="es"/>
      </w:rPr>
      <w:drawing>
        <wp:anchor distT="0" distB="0" distL="114300" distR="114300" simplePos="0" relativeHeight="251659264" behindDoc="0" locked="0" layoutInCell="1" allowOverlap="1" wp14:anchorId="1DDADC5C" wp14:editId="5DA8F869">
          <wp:simplePos x="0" y="0"/>
          <wp:positionH relativeFrom="column">
            <wp:posOffset>4270070</wp:posOffset>
          </wp:positionH>
          <wp:positionV relativeFrom="paragraph">
            <wp:posOffset>0</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D6"/>
    <w:rsid w:val="00052B3C"/>
    <w:rsid w:val="00092D6C"/>
    <w:rsid w:val="00641963"/>
    <w:rsid w:val="006A2ED6"/>
    <w:rsid w:val="007233CF"/>
    <w:rsid w:val="00831009"/>
    <w:rsid w:val="00911C99"/>
    <w:rsid w:val="00D623B4"/>
    <w:rsid w:val="00E34BF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C77B"/>
  <w15:chartTrackingRefBased/>
  <w15:docId w15:val="{81E1D07B-37A3-4E20-B81A-14D46A30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9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41963"/>
    <w:rPr>
      <w:color w:val="0000FF"/>
      <w:u w:val="single"/>
    </w:rPr>
  </w:style>
  <w:style w:type="paragraph" w:styleId="Header">
    <w:name w:val="header"/>
    <w:basedOn w:val="Normal"/>
    <w:link w:val="HeaderChar"/>
    <w:uiPriority w:val="99"/>
    <w:unhideWhenUsed/>
    <w:rsid w:val="0064196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1963"/>
    <w:rPr>
      <w:lang w:val="es-CO"/>
    </w:rPr>
  </w:style>
  <w:style w:type="paragraph" w:styleId="Footer">
    <w:name w:val="footer"/>
    <w:basedOn w:val="Normal"/>
    <w:link w:val="FooterChar"/>
    <w:uiPriority w:val="99"/>
    <w:unhideWhenUsed/>
    <w:rsid w:val="0064196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1963"/>
    <w:rPr>
      <w:lang w:val="es-CO"/>
    </w:rPr>
  </w:style>
  <w:style w:type="character" w:styleId="PlaceholderText">
    <w:name w:val="Placeholder Text"/>
    <w:basedOn w:val="DefaultParagraphFont"/>
    <w:uiPriority w:val="99"/>
    <w:semiHidden/>
    <w:rsid w:val="00052B3C"/>
    <w:rPr>
      <w:color w:val="808080"/>
    </w:rPr>
  </w:style>
  <w:style w:type="character" w:styleId="UnresolvedMention">
    <w:name w:val="Unresolved Mention"/>
    <w:basedOn w:val="DefaultParagraphFont"/>
    <w:uiPriority w:val="99"/>
    <w:semiHidden/>
    <w:unhideWhenUsed/>
    <w:rsid w:val="00E34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955339">
      <w:bodyDiv w:val="1"/>
      <w:marLeft w:val="0"/>
      <w:marRight w:val="0"/>
      <w:marTop w:val="0"/>
      <w:marBottom w:val="0"/>
      <w:divBdr>
        <w:top w:val="none" w:sz="0" w:space="0" w:color="auto"/>
        <w:left w:val="none" w:sz="0" w:space="0" w:color="auto"/>
        <w:bottom w:val="none" w:sz="0" w:space="0" w:color="auto"/>
        <w:right w:val="none" w:sz="0" w:space="0" w:color="auto"/>
      </w:divBdr>
    </w:div>
    <w:div w:id="16855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s.doc.gov/complianceandenforcement/liststocheck.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assenaa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as.gov/offices/enforcement/ofac/index.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bis.doc.gov/" TargetMode="External"/><Relationship Id="rId4" Type="http://schemas.openxmlformats.org/officeDocument/2006/relationships/styles" Target="styles.xml"/><Relationship Id="rId9" Type="http://schemas.openxmlformats.org/officeDocument/2006/relationships/hyperlink" Target="http://www.access.gpo.gov/bis/ear/ear_data.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8EEE48-6339-4935-853E-C4AEF6A2AC56}"/>
</file>

<file path=customXml/itemProps2.xml><?xml version="1.0" encoding="utf-8"?>
<ds:datastoreItem xmlns:ds="http://schemas.openxmlformats.org/officeDocument/2006/customXml" ds:itemID="{002976BC-4B1F-413F-BFA0-97C47968DC9B}">
  <ds:schemaRefs>
    <ds:schemaRef ds:uri="http://schemas.microsoft.com/sharepoint/v3/contenttype/forms"/>
  </ds:schemaRefs>
</ds:datastoreItem>
</file>

<file path=customXml/itemProps3.xml><?xml version="1.0" encoding="utf-8"?>
<ds:datastoreItem xmlns:ds="http://schemas.openxmlformats.org/officeDocument/2006/customXml" ds:itemID="{1C73F02D-2199-4386-B464-96D156C989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3</cp:revision>
  <dcterms:created xsi:type="dcterms:W3CDTF">2020-09-21T03:27:00Z</dcterms:created>
  <dcterms:modified xsi:type="dcterms:W3CDTF">2020-09-21T03:39:00Z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