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F5C33" w14:textId="38105C5A" w:rsidR="00A81E88" w:rsidRDefault="00E851F9" w:rsidP="00D0517B">
      <w:pPr>
        <w:rPr>
          <w:b/>
          <w:bCs/>
          <w:sz w:val="32"/>
        </w:rPr>
      </w:pPr>
      <w:bookmarkStart w:id="0" w:name="_Hlk106813889"/>
      <w:bookmarkEnd w:id="0"/>
      <w:r>
        <w:rPr>
          <w:b/>
          <w:bCs/>
          <w:sz w:val="32"/>
        </w:rPr>
        <w:t>To consider when writing scenario texts</w:t>
      </w:r>
    </w:p>
    <w:p w14:paraId="46256D0A" w14:textId="26E87172" w:rsidR="001101C2" w:rsidRDefault="00D577E0" w:rsidP="00D577E0">
      <w:pPr>
        <w:ind w:firstLine="720"/>
      </w:pPr>
      <w:r w:rsidRPr="00D577E0">
        <w:rPr>
          <w:i/>
        </w:rPr>
        <w:t>Definition</w:t>
      </w:r>
      <w:r>
        <w:t xml:space="preserve">. </w:t>
      </w:r>
      <w:r w:rsidR="00E851F9">
        <w:t>A scenario could be defined as “</w:t>
      </w:r>
      <w:r w:rsidR="00E851F9" w:rsidRPr="00E851F9">
        <w:rPr>
          <w:i/>
        </w:rPr>
        <w:t>tool for ordering one's perceptions about alternative future environments in which one's decisions might be played ou</w:t>
      </w:r>
      <w:r w:rsidR="00E851F9">
        <w:rPr>
          <w:i/>
        </w:rPr>
        <w:t>t</w:t>
      </w:r>
      <w:r w:rsidR="00E851F9">
        <w:t xml:space="preserve">” </w:t>
      </w:r>
      <w:r w:rsidR="00E851F9" w:rsidRPr="00E851F9">
        <w:rPr>
          <w:noProof/>
        </w:rPr>
        <w:t>(Wright, et al., 2014, p. 325)</w:t>
      </w:r>
      <w:r w:rsidR="00E851F9">
        <w:t>.</w:t>
      </w:r>
      <w:r>
        <w:t xml:space="preserve"> However, there is no commonly accepted definition. According to </w:t>
      </w:r>
      <w:proofErr w:type="spellStart"/>
      <w:r>
        <w:t>Spaniol</w:t>
      </w:r>
      <w:proofErr w:type="spellEnd"/>
      <w:r>
        <w:t xml:space="preserve"> and Rowland (2019), by analyzing word counts of 77 different definitions of scenarios, there are important common elements: Scenarios are future oriented, they refer to external factors, fashion or trends, the scenario must be possible not impossible and scenario is often written as a narrative, painting a vivid picture of a future, which is shaped by uncertain contextual or structural factors. Further scenarios are often a systematized set and exist as groups, these groups of scenarios are comparatively and meaningful different, for example by a “number of environmental variables” </w:t>
      </w:r>
      <w:sdt>
        <w:sdtPr>
          <w:id w:val="-2091077927"/>
          <w:citation/>
        </w:sdtPr>
        <w:sdtContent>
          <w:r>
            <w:fldChar w:fldCharType="begin"/>
          </w:r>
          <w:r w:rsidRPr="00D577E0">
            <w:instrText xml:space="preserve"> CITATION spaniol2019defining \l 1031 </w:instrText>
          </w:r>
          <w:r>
            <w:fldChar w:fldCharType="separate"/>
          </w:r>
          <w:r w:rsidR="00743F1E" w:rsidRPr="00743F1E">
            <w:rPr>
              <w:noProof/>
            </w:rPr>
            <w:t>(Spaniol &amp; Rowland, 2019)</w:t>
          </w:r>
          <w:r>
            <w:fldChar w:fldCharType="end"/>
          </w:r>
        </w:sdtContent>
      </w:sdt>
      <w:r>
        <w:t xml:space="preserve">. </w:t>
      </w:r>
    </w:p>
    <w:p w14:paraId="7B2A6CDC" w14:textId="3196EAB5" w:rsidR="00E851F9" w:rsidRDefault="007847C8" w:rsidP="001101C2">
      <w:pPr>
        <w:ind w:firstLine="720"/>
      </w:pPr>
      <w:r>
        <w:rPr>
          <w:i/>
        </w:rPr>
        <w:t>Differentiating</w:t>
      </w:r>
      <w:r w:rsidR="00FD17C6">
        <w:rPr>
          <w:i/>
        </w:rPr>
        <w:t xml:space="preserve"> </w:t>
      </w:r>
      <w:r w:rsidR="001101C2" w:rsidRPr="001101C2">
        <w:rPr>
          <w:i/>
        </w:rPr>
        <w:t>scenarios</w:t>
      </w:r>
      <w:r w:rsidR="001101C2">
        <w:t xml:space="preserve">. </w:t>
      </w:r>
      <w:r w:rsidR="009A5047">
        <w:t xml:space="preserve">According to </w:t>
      </w:r>
      <w:proofErr w:type="spellStart"/>
      <w:r w:rsidR="009A5047">
        <w:t>Kosow</w:t>
      </w:r>
      <w:proofErr w:type="spellEnd"/>
      <w:r w:rsidR="009A5047">
        <w:t xml:space="preserve"> and </w:t>
      </w:r>
      <w:proofErr w:type="spellStart"/>
      <w:r w:rsidR="009A5047">
        <w:t>Gaßner</w:t>
      </w:r>
      <w:proofErr w:type="spellEnd"/>
      <w:r w:rsidR="009A5047">
        <w:t xml:space="preserve"> (2008) central for a scenario is the “</w:t>
      </w:r>
      <w:r w:rsidR="009A5047" w:rsidRPr="009A5047">
        <w:rPr>
          <w:i/>
        </w:rPr>
        <w:t>description of a possible future situation</w:t>
      </w:r>
      <w:r w:rsidR="009A5047">
        <w:t>” and that a scenario includes “</w:t>
      </w:r>
      <w:r w:rsidR="009A5047" w:rsidRPr="009A5047">
        <w:rPr>
          <w:i/>
        </w:rPr>
        <w:t>paths of development which may lead to that future situation</w:t>
      </w:r>
      <w:r w:rsidR="009A5047">
        <w:t xml:space="preserve">” </w:t>
      </w:r>
      <w:r w:rsidR="009A5047" w:rsidRPr="009A5047">
        <w:rPr>
          <w:noProof/>
        </w:rPr>
        <w:t xml:space="preserve">(Kosow &amp; Gaßner, 2008, </w:t>
      </w:r>
      <w:r w:rsidR="009A5047">
        <w:rPr>
          <w:noProof/>
        </w:rPr>
        <w:t>p</w:t>
      </w:r>
      <w:r w:rsidR="009A5047" w:rsidRPr="009A5047">
        <w:rPr>
          <w:noProof/>
        </w:rPr>
        <w:t>. 11)</w:t>
      </w:r>
      <w:r w:rsidR="009A5047">
        <w:t xml:space="preserve">. </w:t>
      </w:r>
      <w:r w:rsidR="003C751A">
        <w:t xml:space="preserve">Depending on the included salient characteristics within a scenario a different future S1, S2 can be described. The outer limits of this funnel symbolize future developments which are left out of consideration </w:t>
      </w:r>
      <w:sdt>
        <w:sdtPr>
          <w:id w:val="-1887089782"/>
          <w:citation/>
        </w:sdtPr>
        <w:sdtContent>
          <w:r w:rsidR="003C751A">
            <w:fldChar w:fldCharType="begin"/>
          </w:r>
          <w:r w:rsidR="003C751A" w:rsidRPr="003C751A">
            <w:instrText xml:space="preserve"> CITATION kosow2008methods \l 1031 </w:instrText>
          </w:r>
          <w:r w:rsidR="003C751A">
            <w:fldChar w:fldCharType="separate"/>
          </w:r>
          <w:r w:rsidR="00743F1E" w:rsidRPr="00743F1E">
            <w:rPr>
              <w:noProof/>
            </w:rPr>
            <w:t>(Kosow &amp; Gaßner, 2008)</w:t>
          </w:r>
          <w:r w:rsidR="003C751A">
            <w:fldChar w:fldCharType="end"/>
          </w:r>
        </w:sdtContent>
      </w:sdt>
      <w:r w:rsidR="003C751A">
        <w:t>:</w:t>
      </w:r>
    </w:p>
    <w:p w14:paraId="6BF08B05" w14:textId="092D696F" w:rsidR="003C751A" w:rsidRDefault="00955924" w:rsidP="00D577E0">
      <w:pPr>
        <w:ind w:firstLine="720"/>
      </w:pPr>
      <w:r>
        <w:rPr>
          <w:noProof/>
        </w:rPr>
        <w:drawing>
          <wp:inline distT="0" distB="0" distL="0" distR="0" wp14:anchorId="426012C5" wp14:editId="1B00BDB4">
            <wp:extent cx="4156363" cy="286694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9917" cy="2883192"/>
                    </a:xfrm>
                    <a:prstGeom prst="rect">
                      <a:avLst/>
                    </a:prstGeom>
                  </pic:spPr>
                </pic:pic>
              </a:graphicData>
            </a:graphic>
          </wp:inline>
        </w:drawing>
      </w:r>
    </w:p>
    <w:p w14:paraId="41011DAF" w14:textId="07095BB5" w:rsidR="007847C8" w:rsidRDefault="001101C2" w:rsidP="007847C8">
      <w:r>
        <w:t>These scenarios could be constructed according to probabilities (include only scenarios with high probability), extremes (best-case vs. worst-case), wish scenarios</w:t>
      </w:r>
      <w:r w:rsidR="00A00E8E">
        <w:t xml:space="preserve"> / also called normative scenarios</w:t>
      </w:r>
      <w:r>
        <w:t xml:space="preserve"> (like the “Great Transitions”</w:t>
      </w:r>
      <w:r>
        <w:rPr>
          <w:rStyle w:val="Funotenzeichen"/>
        </w:rPr>
        <w:footnoteReference w:id="1"/>
      </w:r>
      <w:r>
        <w:t>)</w:t>
      </w:r>
      <w:r w:rsidR="007847C8">
        <w:t xml:space="preserve"> </w:t>
      </w:r>
      <w:sdt>
        <w:sdtPr>
          <w:id w:val="293421877"/>
          <w:citation/>
        </w:sdtPr>
        <w:sdtContent>
          <w:r w:rsidR="007847C8">
            <w:fldChar w:fldCharType="begin"/>
          </w:r>
          <w:r w:rsidR="007847C8" w:rsidRPr="007847C8">
            <w:instrText xml:space="preserve"> CITATION kosow2008methods \l 1031 </w:instrText>
          </w:r>
          <w:r w:rsidR="007847C8">
            <w:fldChar w:fldCharType="separate"/>
          </w:r>
          <w:r w:rsidR="00743F1E" w:rsidRPr="00743F1E">
            <w:rPr>
              <w:noProof/>
            </w:rPr>
            <w:t>(Kosow &amp; Gaßner, 2008)</w:t>
          </w:r>
          <w:r w:rsidR="007847C8">
            <w:fldChar w:fldCharType="end"/>
          </w:r>
        </w:sdtContent>
      </w:sdt>
      <w:r w:rsidR="007847C8">
        <w:t xml:space="preserve"> or additionally scenarios includes to best- and worst-case scenario a business-as-usual future prediction. Also possible is to construct scenarios according to the “degree of uncertainty” and “degree of impact” or to include only a specific point of view (like experts vs. layperson) </w:t>
      </w:r>
      <w:sdt>
        <w:sdtPr>
          <w:id w:val="1081797295"/>
          <w:citation/>
        </w:sdtPr>
        <w:sdtContent>
          <w:r w:rsidR="007847C8">
            <w:fldChar w:fldCharType="begin"/>
          </w:r>
          <w:r w:rsidR="007847C8" w:rsidRPr="007847C8">
            <w:instrText xml:space="preserve"> CITATION wright2014ethical \l 1031 </w:instrText>
          </w:r>
          <w:r w:rsidR="007847C8">
            <w:fldChar w:fldCharType="separate"/>
          </w:r>
          <w:r w:rsidR="00743F1E" w:rsidRPr="00743F1E">
            <w:rPr>
              <w:noProof/>
            </w:rPr>
            <w:t>(Wright, et al., 2014)</w:t>
          </w:r>
          <w:r w:rsidR="007847C8">
            <w:fldChar w:fldCharType="end"/>
          </w:r>
        </w:sdtContent>
      </w:sdt>
      <w:r w:rsidR="007847C8">
        <w:t>.</w:t>
      </w:r>
    </w:p>
    <w:p w14:paraId="002EAC70" w14:textId="70C62BAD" w:rsidR="003C751A" w:rsidRDefault="007847C8" w:rsidP="007847C8">
      <w:pPr>
        <w:ind w:firstLine="720"/>
      </w:pPr>
      <w:r>
        <w:rPr>
          <w:i/>
        </w:rPr>
        <w:t>Constructing</w:t>
      </w:r>
      <w:r>
        <w:rPr>
          <w:i/>
        </w:rPr>
        <w:t xml:space="preserve"> </w:t>
      </w:r>
      <w:r w:rsidRPr="001101C2">
        <w:rPr>
          <w:i/>
        </w:rPr>
        <w:t>scenarios</w:t>
      </w:r>
      <w:r>
        <w:t>.</w:t>
      </w:r>
      <w:r>
        <w:t xml:space="preserve"> Multiple approaches </w:t>
      </w:r>
      <w:r w:rsidR="008F664B">
        <w:t>exist</w:t>
      </w:r>
      <w:r>
        <w:t xml:space="preserve"> to create scenarios</w:t>
      </w:r>
      <w:r w:rsidR="004E3400">
        <w:t>. In the following only two possible approaches are described</w:t>
      </w:r>
      <w:r>
        <w:t xml:space="preserve">: According to the approach of Schwartz (1996) </w:t>
      </w:r>
      <w:r w:rsidR="003A70A3">
        <w:t>several</w:t>
      </w:r>
      <w:r>
        <w:t xml:space="preserve"> steps are necessary: Identify focal issues, identify key forces, ra</w:t>
      </w:r>
      <w:r w:rsidR="009D1590">
        <w:t>n</w:t>
      </w:r>
      <w:r>
        <w:t xml:space="preserve">king the key factors and driving factors, </w:t>
      </w:r>
      <w:r w:rsidR="00E70A2E">
        <w:t xml:space="preserve">referring to </w:t>
      </w:r>
      <w:r w:rsidR="003A70A3">
        <w:t xml:space="preserve">the </w:t>
      </w:r>
      <w:r w:rsidR="00E70A2E">
        <w:t>most important factors</w:t>
      </w:r>
      <w:r w:rsidR="003A70A3">
        <w:t xml:space="preserve"> to</w:t>
      </w:r>
      <w:r w:rsidR="00E70A2E">
        <w:t xml:space="preserve"> flesh out scenarios,</w:t>
      </w:r>
      <w:r w:rsidR="003A70A3">
        <w:t xml:space="preserve"> check how the so constructed scenarios differ and </w:t>
      </w:r>
      <w:r w:rsidR="003A70A3">
        <w:lastRenderedPageBreak/>
        <w:t xml:space="preserve">select appropriate scenarios according to </w:t>
      </w:r>
      <w:r w:rsidR="00DF19C0">
        <w:t>plausibility</w:t>
      </w:r>
      <w:r w:rsidR="00433EAB">
        <w:t xml:space="preserve"> </w:t>
      </w:r>
      <w:sdt>
        <w:sdtPr>
          <w:id w:val="-809938589"/>
          <w:citation/>
        </w:sdtPr>
        <w:sdtContent>
          <w:r w:rsidR="00433EAB">
            <w:fldChar w:fldCharType="begin"/>
          </w:r>
          <w:r w:rsidR="00433EAB" w:rsidRPr="00433EAB">
            <w:instrText xml:space="preserve"> CITATION mietzner2005advantages \l 1031 </w:instrText>
          </w:r>
          <w:r w:rsidR="00433EAB">
            <w:fldChar w:fldCharType="separate"/>
          </w:r>
          <w:r w:rsidR="00743F1E" w:rsidRPr="00743F1E">
            <w:rPr>
              <w:noProof/>
            </w:rPr>
            <w:t>(Mietzner &amp; Reger, 2005)</w:t>
          </w:r>
          <w:r w:rsidR="00433EAB">
            <w:fldChar w:fldCharType="end"/>
          </w:r>
        </w:sdtContent>
      </w:sdt>
      <w:r w:rsidR="00DF19C0">
        <w:t xml:space="preserve">. </w:t>
      </w:r>
      <w:r w:rsidR="00433EAB" w:rsidRPr="00433EAB">
        <w:t xml:space="preserve">According to </w:t>
      </w:r>
      <w:proofErr w:type="spellStart"/>
      <w:r w:rsidR="00433EAB">
        <w:t>Kosow</w:t>
      </w:r>
      <w:proofErr w:type="spellEnd"/>
      <w:r w:rsidR="00433EAB">
        <w:t xml:space="preserve"> and </w:t>
      </w:r>
      <w:proofErr w:type="spellStart"/>
      <w:r w:rsidR="00433EAB">
        <w:t>Gaßner</w:t>
      </w:r>
      <w:proofErr w:type="spellEnd"/>
      <w:r w:rsidR="00433EAB">
        <w:t xml:space="preserve"> (2008) </w:t>
      </w:r>
      <w:r w:rsidR="00433EAB" w:rsidRPr="00433EAB">
        <w:t>the scenario process goes in ideal-typical fashion through the five phases</w:t>
      </w:r>
      <w:r w:rsidR="00433EAB">
        <w:t xml:space="preserve">: </w:t>
      </w:r>
    </w:p>
    <w:p w14:paraId="11A98F14" w14:textId="1010C7B6" w:rsidR="007F556F" w:rsidRDefault="007F556F" w:rsidP="007847C8">
      <w:pPr>
        <w:ind w:firstLine="720"/>
      </w:pPr>
      <w:r>
        <w:rPr>
          <w:noProof/>
        </w:rPr>
        <w:drawing>
          <wp:inline distT="0" distB="0" distL="0" distR="0" wp14:anchorId="19D32297" wp14:editId="69983AB3">
            <wp:extent cx="4411683" cy="2909853"/>
            <wp:effectExtent l="0" t="0" r="8255" b="50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4087" cy="2924630"/>
                    </a:xfrm>
                    <a:prstGeom prst="rect">
                      <a:avLst/>
                    </a:prstGeom>
                  </pic:spPr>
                </pic:pic>
              </a:graphicData>
            </a:graphic>
          </wp:inline>
        </w:drawing>
      </w:r>
    </w:p>
    <w:p w14:paraId="264A3565" w14:textId="77777777" w:rsidR="00C75B01" w:rsidRDefault="00C75B01" w:rsidP="00C75B01">
      <w:pPr>
        <w:pStyle w:val="Listenabsatz"/>
        <w:numPr>
          <w:ilvl w:val="0"/>
          <w:numId w:val="3"/>
        </w:numPr>
        <w:spacing w:line="240" w:lineRule="auto"/>
      </w:pPr>
      <w:r>
        <w:t xml:space="preserve">Scenario field identification: Comprehensive decisions regarding relevancy are to be made and the boundaries of the field which will be taken under study. The purpose of the scenario needs to be defined. </w:t>
      </w:r>
    </w:p>
    <w:p w14:paraId="07EF2110" w14:textId="77777777" w:rsidR="00C75B01" w:rsidRDefault="00C75B01" w:rsidP="00C75B01">
      <w:pPr>
        <w:pStyle w:val="Listenabsatz"/>
        <w:numPr>
          <w:ilvl w:val="0"/>
          <w:numId w:val="3"/>
        </w:numPr>
        <w:spacing w:line="240" w:lineRule="auto"/>
      </w:pPr>
      <w:r>
        <w:t>Key factors: This variables, parameters, trends, developments, and events which receive central attention during the further course of the scenario process.</w:t>
      </w:r>
    </w:p>
    <w:p w14:paraId="7BD42439" w14:textId="1CEA4274" w:rsidR="00C75B01" w:rsidRDefault="00C75B01" w:rsidP="00C75B01">
      <w:pPr>
        <w:pStyle w:val="Listenabsatz"/>
        <w:numPr>
          <w:ilvl w:val="0"/>
          <w:numId w:val="3"/>
        </w:numPr>
        <w:spacing w:line="240" w:lineRule="auto"/>
      </w:pPr>
      <w:r>
        <w:t xml:space="preserve">Key factor analysis. Aim is to </w:t>
      </w:r>
      <w:r>
        <w:t>widen</w:t>
      </w:r>
      <w:r>
        <w:t xml:space="preserve"> the scenario “funnel” in which individual key factors are subjected to analysis, those salient characteristics are selected which are to become part of the </w:t>
      </w:r>
      <w:r>
        <w:t>chosen</w:t>
      </w:r>
      <w:r>
        <w:t xml:space="preserve"> scenario.</w:t>
      </w:r>
    </w:p>
    <w:p w14:paraId="147E8E81" w14:textId="77777777" w:rsidR="00C75B01" w:rsidRDefault="00C75B01" w:rsidP="00C75B01">
      <w:pPr>
        <w:pStyle w:val="Listenabsatz"/>
        <w:numPr>
          <w:ilvl w:val="0"/>
          <w:numId w:val="3"/>
        </w:numPr>
        <w:spacing w:line="240" w:lineRule="auto"/>
      </w:pPr>
      <w:r>
        <w:t>Scenario generation: Consistent bundles of factors are brought together, selected, and worked up into scenarios.</w:t>
      </w:r>
    </w:p>
    <w:p w14:paraId="6A321B84" w14:textId="43C63710" w:rsidR="00E851F9" w:rsidRDefault="00C75B01" w:rsidP="00C75B01">
      <w:pPr>
        <w:pStyle w:val="Listenabsatz"/>
        <w:numPr>
          <w:ilvl w:val="0"/>
          <w:numId w:val="3"/>
        </w:numPr>
        <w:spacing w:line="240" w:lineRule="auto"/>
      </w:pPr>
      <w:r>
        <w:t>Scenario</w:t>
      </w:r>
      <w:r>
        <w:t xml:space="preserve"> transfer: Description of the further application and/or processing of scenarios which have been generated.</w:t>
      </w:r>
    </w:p>
    <w:p w14:paraId="263B2706" w14:textId="1CC9CA17" w:rsidR="004E3400" w:rsidRDefault="004E3400" w:rsidP="004E3400">
      <w:pPr>
        <w:spacing w:line="240" w:lineRule="auto"/>
      </w:pPr>
    </w:p>
    <w:p w14:paraId="045A8C55" w14:textId="44BB5C1F" w:rsidR="004E3400" w:rsidRDefault="004E3400" w:rsidP="0022038C">
      <w:pPr>
        <w:spacing w:line="240" w:lineRule="auto"/>
        <w:ind w:firstLine="360"/>
      </w:pPr>
      <w:r w:rsidRPr="0022038C">
        <w:rPr>
          <w:i/>
        </w:rPr>
        <w:t xml:space="preserve">Quality criteria of </w:t>
      </w:r>
      <w:r w:rsidR="0022038C" w:rsidRPr="0022038C">
        <w:rPr>
          <w:i/>
        </w:rPr>
        <w:t>constructed</w:t>
      </w:r>
      <w:r w:rsidRPr="0022038C">
        <w:rPr>
          <w:i/>
        </w:rPr>
        <w:t xml:space="preserve"> scenarios</w:t>
      </w:r>
      <w:r>
        <w:t xml:space="preserve">. </w:t>
      </w:r>
      <w:r w:rsidR="0022038C" w:rsidRPr="0022038C">
        <w:t>Depending on the time horizon and the level of complexity and uncertainty that characterize a particular prediction, the scenario may rely primarily on factual information or active speculation in the extreme</w:t>
      </w:r>
      <w:r w:rsidR="0022038C">
        <w:t xml:space="preserve"> </w:t>
      </w:r>
      <w:sdt>
        <w:sdtPr>
          <w:id w:val="-932501643"/>
          <w:citation/>
        </w:sdtPr>
        <w:sdtContent>
          <w:r w:rsidR="0022038C">
            <w:fldChar w:fldCharType="begin"/>
          </w:r>
          <w:r w:rsidR="0022038C" w:rsidRPr="0022038C">
            <w:instrText xml:space="preserve"> CITATION wiebe2018scenario \l 1031 </w:instrText>
          </w:r>
          <w:r w:rsidR="0022038C">
            <w:fldChar w:fldCharType="separate"/>
          </w:r>
          <w:r w:rsidR="00743F1E" w:rsidRPr="00743F1E">
            <w:rPr>
              <w:noProof/>
            </w:rPr>
            <w:t>(Wiebe, et al., 2018)</w:t>
          </w:r>
          <w:r w:rsidR="0022038C">
            <w:fldChar w:fldCharType="end"/>
          </w:r>
        </w:sdtContent>
      </w:sdt>
      <w:r w:rsidR="0022038C">
        <w:t xml:space="preserve">: </w:t>
      </w:r>
    </w:p>
    <w:p w14:paraId="388D6ABD" w14:textId="32DD9455" w:rsidR="0022038C" w:rsidRDefault="0022038C" w:rsidP="0022038C">
      <w:pPr>
        <w:spacing w:line="240" w:lineRule="auto"/>
        <w:ind w:firstLine="360"/>
      </w:pPr>
      <w:r>
        <w:rPr>
          <w:noProof/>
        </w:rPr>
        <w:drawing>
          <wp:inline distT="0" distB="0" distL="0" distR="0" wp14:anchorId="02208A41" wp14:editId="7DC61341">
            <wp:extent cx="2962893" cy="1427266"/>
            <wp:effectExtent l="0" t="0" r="0"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6625" cy="1448332"/>
                    </a:xfrm>
                    <a:prstGeom prst="rect">
                      <a:avLst/>
                    </a:prstGeom>
                  </pic:spPr>
                </pic:pic>
              </a:graphicData>
            </a:graphic>
          </wp:inline>
        </w:drawing>
      </w:r>
    </w:p>
    <w:p w14:paraId="7990541F" w14:textId="180B38D0" w:rsidR="0022038C" w:rsidRDefault="001F223D" w:rsidP="0022038C">
      <w:pPr>
        <w:spacing w:line="240" w:lineRule="auto"/>
        <w:ind w:firstLine="360"/>
      </w:pPr>
      <w:r>
        <w:t xml:space="preserve">However, central criteria for selecting scenarios is that the selected scenario is (a) plausible (capable of happening), (b) different to the set of scenarios (not simple variations of the same theme), (c) </w:t>
      </w:r>
      <w:r>
        <w:lastRenderedPageBreak/>
        <w:t xml:space="preserve">consistent (internal consistent and logical), (d) has utility for decision making (scenario should contribute to helpful insights for the future) and (e)  challenging (should contest the common wisdom) </w:t>
      </w:r>
      <w:sdt>
        <w:sdtPr>
          <w:id w:val="-1942443978"/>
          <w:citation/>
        </w:sdtPr>
        <w:sdtContent>
          <w:r>
            <w:fldChar w:fldCharType="begin"/>
          </w:r>
          <w:r w:rsidRPr="001F223D">
            <w:instrText xml:space="preserve"> CITATION mietzner2005advantages \l 1031 </w:instrText>
          </w:r>
          <w:r>
            <w:fldChar w:fldCharType="separate"/>
          </w:r>
          <w:r w:rsidR="00743F1E" w:rsidRPr="00743F1E">
            <w:rPr>
              <w:noProof/>
            </w:rPr>
            <w:t>(Mietzner &amp; Reger, 2005)</w:t>
          </w:r>
          <w:r>
            <w:fldChar w:fldCharType="end"/>
          </w:r>
        </w:sdtContent>
      </w:sdt>
      <w:r>
        <w:t xml:space="preserve">. </w:t>
      </w:r>
      <w:r w:rsidR="00191246">
        <w:t>Further scenarios should be comprehensible (</w:t>
      </w:r>
      <w:r w:rsidR="00743F1E">
        <w:t xml:space="preserve">detailed enough to be comprehensible while not to </w:t>
      </w:r>
      <w:proofErr w:type="gramStart"/>
      <w:r w:rsidR="00743F1E">
        <w:t>complex)  and</w:t>
      </w:r>
      <w:proofErr w:type="gramEnd"/>
      <w:r w:rsidR="00743F1E">
        <w:t xml:space="preserve"> best should be “readable” and include elements of fascination and enjoyment and humor </w:t>
      </w:r>
      <w:sdt>
        <w:sdtPr>
          <w:id w:val="-2092610145"/>
          <w:citation/>
        </w:sdtPr>
        <w:sdtContent>
          <w:r w:rsidR="00743F1E">
            <w:fldChar w:fldCharType="begin"/>
          </w:r>
          <w:r w:rsidR="00743F1E" w:rsidRPr="00743F1E">
            <w:instrText xml:space="preserve"> CITATION kosow2008methods \l 1031 </w:instrText>
          </w:r>
          <w:r w:rsidR="00743F1E">
            <w:fldChar w:fldCharType="separate"/>
          </w:r>
          <w:r w:rsidR="00743F1E" w:rsidRPr="00743F1E">
            <w:rPr>
              <w:noProof/>
            </w:rPr>
            <w:t>(Kosow &amp; Gaßner, 2008)</w:t>
          </w:r>
          <w:r w:rsidR="00743F1E">
            <w:fldChar w:fldCharType="end"/>
          </w:r>
        </w:sdtContent>
      </w:sdt>
      <w:r w:rsidR="00743F1E">
        <w:t>.</w:t>
      </w:r>
      <w:r>
        <w:t xml:space="preserve"> </w:t>
      </w:r>
    </w:p>
    <w:p w14:paraId="378A1066" w14:textId="46A3E64E" w:rsidR="00743F1E" w:rsidRDefault="00743F1E" w:rsidP="0022038C">
      <w:pPr>
        <w:pBdr>
          <w:bottom w:val="thinThickThinMediumGap" w:sz="18" w:space="1" w:color="auto"/>
        </w:pBdr>
        <w:spacing w:line="240" w:lineRule="auto"/>
        <w:ind w:firstLine="360"/>
      </w:pPr>
    </w:p>
    <w:p w14:paraId="7B57B09F" w14:textId="24BF0541" w:rsidR="00E851F9" w:rsidRDefault="00E851F9" w:rsidP="00E851F9"/>
    <w:p w14:paraId="4F394D7A" w14:textId="524A30EE" w:rsidR="00743F1E" w:rsidRPr="00743F1E" w:rsidRDefault="00743F1E" w:rsidP="00E851F9">
      <w:pPr>
        <w:rPr>
          <w:b/>
          <w:bCs/>
          <w:sz w:val="32"/>
        </w:rPr>
      </w:pPr>
      <w:r w:rsidRPr="00743F1E">
        <w:rPr>
          <w:b/>
          <w:bCs/>
          <w:sz w:val="32"/>
        </w:rPr>
        <w:t xml:space="preserve">Evaluate and compare written scenario texts: </w:t>
      </w:r>
    </w:p>
    <w:p w14:paraId="2A898A7C" w14:textId="3A806015" w:rsidR="00743F1E" w:rsidRDefault="00743F1E" w:rsidP="00E851F9">
      <w:r>
        <w:t xml:space="preserve">At the end central characteristics / factors of scenarios can be summarized according to different topics </w:t>
      </w:r>
      <w:r w:rsidRPr="00743F1E">
        <w:rPr>
          <w:noProof/>
        </w:rPr>
        <w:t>(</w:t>
      </w:r>
      <w:r>
        <w:rPr>
          <w:noProof/>
        </w:rPr>
        <w:t xml:space="preserve">adjusted from </w:t>
      </w:r>
      <w:r w:rsidRPr="00743F1E">
        <w:rPr>
          <w:noProof/>
        </w:rPr>
        <w:t>Wright, et al., 2014)</w:t>
      </w:r>
      <w:r>
        <w:rPr>
          <w:noProof/>
        </w:rPr>
        <w:t xml:space="preserve"> – example for </w:t>
      </w:r>
      <w:r w:rsidRPr="002233E7">
        <w:t xml:space="preserve">Stratospheric </w:t>
      </w:r>
      <w:r>
        <w:t>Aerosol</w:t>
      </w:r>
      <w:r w:rsidRPr="002233E7">
        <w:t xml:space="preserve"> Inje</w:t>
      </w:r>
      <w:r>
        <w:t>ction</w:t>
      </w:r>
      <w:r>
        <w:t xml:space="preserve"> descriptive text: </w:t>
      </w:r>
    </w:p>
    <w:p w14:paraId="6078662F"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Context</w:t>
      </w:r>
      <w:r>
        <w:rPr>
          <w:rFonts w:cs="Times New Roman"/>
        </w:rPr>
        <w:t>: Latest information of climate change and its consequences as framing</w:t>
      </w:r>
    </w:p>
    <w:p w14:paraId="05F50521" w14:textId="77777777" w:rsidR="00743F1E" w:rsidRPr="003E6904"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Summary scenario</w:t>
      </w:r>
      <w:r w:rsidRPr="003E6904">
        <w:rPr>
          <w:rFonts w:cs="Times New Roman"/>
        </w:rPr>
        <w:t xml:space="preserve">: </w:t>
      </w:r>
      <w:r w:rsidRPr="002233E7">
        <w:t xml:space="preserve">Stratospheric </w:t>
      </w:r>
      <w:r>
        <w:t>Aerosol</w:t>
      </w:r>
      <w:r w:rsidRPr="002233E7">
        <w:t xml:space="preserve"> Inje</w:t>
      </w:r>
      <w:r>
        <w:t>ction, part of Solar Radiation Management, as possible emergency solution to human driven climate change</w:t>
      </w:r>
    </w:p>
    <w:p w14:paraId="23D26442" w14:textId="77777777" w:rsidR="00743F1E" w:rsidRPr="003E6904"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i/>
        </w:rPr>
        <w:t>Time frame</w:t>
      </w:r>
      <w:r>
        <w:t>: near future (couple of years -&gt; till 2030)</w:t>
      </w:r>
    </w:p>
    <w:p w14:paraId="595D0454"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Location of technology</w:t>
      </w:r>
      <w:r>
        <w:rPr>
          <w:rFonts w:cs="Times New Roman"/>
        </w:rPr>
        <w:t>: not specified</w:t>
      </w:r>
    </w:p>
    <w:p w14:paraId="607BE7E0" w14:textId="77777777" w:rsidR="00743F1E" w:rsidRPr="003E6904"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Involved actors</w:t>
      </w:r>
      <w:r>
        <w:rPr>
          <w:rFonts w:cs="Times New Roman"/>
        </w:rPr>
        <w:t>: not specified</w:t>
      </w:r>
    </w:p>
    <w:p w14:paraId="0C7B62A8"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Type of scenario</w:t>
      </w:r>
      <w:r>
        <w:rPr>
          <w:rFonts w:cs="Times New Roman"/>
        </w:rPr>
        <w:t>: more exploratory than normative (ethical dilemma is no self-evident for participants?)</w:t>
      </w:r>
    </w:p>
    <w:p w14:paraId="7484782E" w14:textId="77777777" w:rsidR="00743F1E" w:rsidRPr="00715087" w:rsidRDefault="00743F1E" w:rsidP="00743F1E">
      <w:pPr>
        <w:pStyle w:val="Listenabsatz"/>
        <w:numPr>
          <w:ilvl w:val="1"/>
          <w:numId w:val="1"/>
        </w:numPr>
        <w:autoSpaceDE w:val="0"/>
        <w:autoSpaceDN w:val="0"/>
        <w:adjustRightInd w:val="0"/>
        <w:spacing w:line="240" w:lineRule="auto"/>
        <w:jc w:val="left"/>
        <w:rPr>
          <w:rFonts w:cs="Times New Roman"/>
        </w:rPr>
      </w:pPr>
      <w:r w:rsidRPr="003E6904">
        <w:rPr>
          <w:rFonts w:cs="Times New Roman"/>
          <w:i/>
        </w:rPr>
        <w:t>Key assumptions</w:t>
      </w:r>
      <w:r>
        <w:rPr>
          <w:rFonts w:cs="Times New Roman"/>
        </w:rPr>
        <w:t>: participants become emotional evolved and reflect ethical, emotional, and acceptance related factors of the technology</w:t>
      </w:r>
    </w:p>
    <w:p w14:paraId="3D85AAF5" w14:textId="77777777" w:rsidR="00743F1E" w:rsidRPr="003E6904" w:rsidRDefault="00743F1E" w:rsidP="00743F1E">
      <w:pPr>
        <w:pStyle w:val="Listenabsatz"/>
        <w:numPr>
          <w:ilvl w:val="0"/>
          <w:numId w:val="1"/>
        </w:numPr>
        <w:autoSpaceDE w:val="0"/>
        <w:autoSpaceDN w:val="0"/>
        <w:adjustRightInd w:val="0"/>
        <w:spacing w:line="240" w:lineRule="auto"/>
        <w:jc w:val="left"/>
        <w:rPr>
          <w:rFonts w:cs="Times New Roman"/>
          <w:b/>
        </w:rPr>
      </w:pPr>
      <w:r w:rsidRPr="003E6904">
        <w:rPr>
          <w:rFonts w:cs="Times New Roman"/>
          <w:b/>
        </w:rPr>
        <w:t>The technologies</w:t>
      </w:r>
    </w:p>
    <w:p w14:paraId="4BFC468E" w14:textId="77777777" w:rsidR="00743F1E" w:rsidRPr="00715087" w:rsidRDefault="00743F1E" w:rsidP="00743F1E">
      <w:pPr>
        <w:pStyle w:val="Listenabsatz"/>
        <w:numPr>
          <w:ilvl w:val="1"/>
          <w:numId w:val="1"/>
        </w:numPr>
        <w:autoSpaceDE w:val="0"/>
        <w:autoSpaceDN w:val="0"/>
        <w:adjustRightInd w:val="0"/>
        <w:spacing w:line="240" w:lineRule="auto"/>
        <w:jc w:val="left"/>
        <w:rPr>
          <w:rFonts w:cs="Times New Roman"/>
        </w:rPr>
      </w:pPr>
      <w:r>
        <w:rPr>
          <w:rFonts w:cs="Times New Roman"/>
        </w:rPr>
        <w:t>Stratospheric Aerosol Injection as part of Solar Radiation Management</w:t>
      </w:r>
    </w:p>
    <w:p w14:paraId="282B8F5A" w14:textId="77777777" w:rsidR="00743F1E" w:rsidRPr="003E6904" w:rsidRDefault="00743F1E" w:rsidP="00743F1E">
      <w:pPr>
        <w:pStyle w:val="Listenabsatz"/>
        <w:numPr>
          <w:ilvl w:val="0"/>
          <w:numId w:val="1"/>
        </w:numPr>
        <w:autoSpaceDE w:val="0"/>
        <w:autoSpaceDN w:val="0"/>
        <w:adjustRightInd w:val="0"/>
        <w:spacing w:line="240" w:lineRule="auto"/>
        <w:jc w:val="left"/>
        <w:rPr>
          <w:rFonts w:cs="Times New Roman"/>
          <w:b/>
        </w:rPr>
      </w:pPr>
      <w:r w:rsidRPr="003E6904">
        <w:rPr>
          <w:rFonts w:cs="Times New Roman"/>
          <w:b/>
        </w:rPr>
        <w:t>The applications</w:t>
      </w:r>
    </w:p>
    <w:p w14:paraId="2A273A67"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Pr>
          <w:rFonts w:cs="Times New Roman"/>
        </w:rPr>
        <w:t xml:space="preserve">Technology can be used to reflect part of the incoming sunlight, so that the sunbeams will not reach earth and therefore </w:t>
      </w:r>
      <w:r w:rsidRPr="003E6904">
        <w:rPr>
          <w:rFonts w:cs="Times New Roman"/>
        </w:rPr>
        <w:t>enable the earth to cool down</w:t>
      </w:r>
    </w:p>
    <w:p w14:paraId="434D77F5" w14:textId="77777777" w:rsidR="00743F1E" w:rsidRPr="005C4E2F" w:rsidRDefault="00743F1E" w:rsidP="00743F1E">
      <w:pPr>
        <w:pStyle w:val="Listenabsatz"/>
        <w:numPr>
          <w:ilvl w:val="0"/>
          <w:numId w:val="1"/>
        </w:numPr>
        <w:autoSpaceDE w:val="0"/>
        <w:autoSpaceDN w:val="0"/>
        <w:adjustRightInd w:val="0"/>
        <w:spacing w:line="240" w:lineRule="auto"/>
        <w:jc w:val="left"/>
        <w:rPr>
          <w:rFonts w:cs="Times New Roman"/>
          <w:b/>
        </w:rPr>
      </w:pPr>
      <w:r w:rsidRPr="005C4E2F">
        <w:rPr>
          <w:rFonts w:cs="Times New Roman"/>
          <w:b/>
        </w:rPr>
        <w:t>The drivers</w:t>
      </w:r>
    </w:p>
    <w:p w14:paraId="0DFFD344"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5C4E2F">
        <w:rPr>
          <w:rFonts w:cs="Times New Roman"/>
          <w:i/>
        </w:rPr>
        <w:t>environmental forces</w:t>
      </w:r>
      <w:r>
        <w:rPr>
          <w:rFonts w:cs="Times New Roman"/>
        </w:rPr>
        <w:t xml:space="preserve">: rise in CO2 levels </w:t>
      </w:r>
      <w:r w:rsidRPr="00563A16">
        <w:rPr>
          <w:rFonts w:cs="Times New Roman"/>
        </w:rPr>
        <w:sym w:font="Wingdings" w:char="F0E0"/>
      </w:r>
      <w:r>
        <w:rPr>
          <w:rFonts w:cs="Times New Roman"/>
        </w:rPr>
        <w:t xml:space="preserve"> temperature </w:t>
      </w:r>
      <w:r w:rsidRPr="00563A16">
        <w:rPr>
          <w:rFonts w:cs="Times New Roman"/>
        </w:rPr>
        <w:sym w:font="Wingdings" w:char="F0E0"/>
      </w:r>
      <w:r>
        <w:rPr>
          <w:rFonts w:cs="Times New Roman"/>
        </w:rPr>
        <w:t xml:space="preserve"> climate disaster, uninhabitable planet </w:t>
      </w:r>
    </w:p>
    <w:p w14:paraId="2A588257"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5C4E2F">
        <w:rPr>
          <w:rFonts w:cs="Times New Roman"/>
          <w:i/>
        </w:rPr>
        <w:t>political forces</w:t>
      </w:r>
      <w:r>
        <w:rPr>
          <w:rFonts w:cs="Times New Roman"/>
        </w:rPr>
        <w:t>: part of scientific community and politicians are willing to research and possible implement technologies of climate engineering</w:t>
      </w:r>
    </w:p>
    <w:p w14:paraId="208D04A5"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5C4E2F">
        <w:rPr>
          <w:rFonts w:cs="Times New Roman"/>
          <w:i/>
        </w:rPr>
        <w:t>socio-economic forces</w:t>
      </w:r>
      <w:r>
        <w:rPr>
          <w:rFonts w:cs="Times New Roman"/>
        </w:rPr>
        <w:t>: current economic system is driven by consumption, which motivates certain actors to avoid mitigation</w:t>
      </w:r>
    </w:p>
    <w:p w14:paraId="5CF7FAE4"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sidRPr="005C4E2F">
        <w:rPr>
          <w:rFonts w:cs="Times New Roman"/>
          <w:i/>
        </w:rPr>
        <w:t>personal motivation</w:t>
      </w:r>
      <w:r>
        <w:rPr>
          <w:rFonts w:cs="Times New Roman"/>
        </w:rPr>
        <w:t>: not change style of living, fear</w:t>
      </w:r>
    </w:p>
    <w:p w14:paraId="3060EB93" w14:textId="77777777" w:rsidR="00743F1E" w:rsidRPr="005C4E2F" w:rsidRDefault="00743F1E" w:rsidP="00743F1E">
      <w:pPr>
        <w:pStyle w:val="Listenabsatz"/>
        <w:numPr>
          <w:ilvl w:val="2"/>
          <w:numId w:val="1"/>
        </w:numPr>
        <w:autoSpaceDE w:val="0"/>
        <w:autoSpaceDN w:val="0"/>
        <w:adjustRightInd w:val="0"/>
        <w:spacing w:line="240" w:lineRule="auto"/>
        <w:jc w:val="left"/>
        <w:rPr>
          <w:rFonts w:cs="Times New Roman"/>
        </w:rPr>
      </w:pPr>
      <w:r w:rsidRPr="005C4E2F">
        <w:rPr>
          <w:rFonts w:cs="Times New Roman"/>
          <w:i/>
        </w:rPr>
        <w:t>political forces</w:t>
      </w:r>
      <w:r>
        <w:rPr>
          <w:rFonts w:cs="Times New Roman"/>
          <w:i/>
        </w:rPr>
        <w:t xml:space="preserve">, </w:t>
      </w:r>
      <w:r w:rsidRPr="005C4E2F">
        <w:rPr>
          <w:rFonts w:cs="Times New Roman"/>
          <w:i/>
        </w:rPr>
        <w:t>socio-economic forces</w:t>
      </w:r>
      <w:r>
        <w:rPr>
          <w:rFonts w:cs="Times New Roman"/>
          <w:i/>
        </w:rPr>
        <w:t xml:space="preserve">, </w:t>
      </w:r>
      <w:r w:rsidRPr="005C4E2F">
        <w:rPr>
          <w:rFonts w:cs="Times New Roman"/>
          <w:i/>
        </w:rPr>
        <w:t>personal motivation</w:t>
      </w:r>
      <w:r>
        <w:rPr>
          <w:rFonts w:cs="Times New Roman"/>
          <w:i/>
        </w:rPr>
        <w:t xml:space="preserve"> only implicit assumptions -&gt; not mentioned in the scenario text</w:t>
      </w:r>
    </w:p>
    <w:p w14:paraId="113A2BB7" w14:textId="77777777" w:rsidR="00743F1E" w:rsidRPr="005C4E2F" w:rsidRDefault="00743F1E" w:rsidP="00743F1E">
      <w:pPr>
        <w:pStyle w:val="Listenabsatz"/>
        <w:numPr>
          <w:ilvl w:val="0"/>
          <w:numId w:val="1"/>
        </w:numPr>
        <w:autoSpaceDE w:val="0"/>
        <w:autoSpaceDN w:val="0"/>
        <w:adjustRightInd w:val="0"/>
        <w:spacing w:line="240" w:lineRule="auto"/>
        <w:jc w:val="left"/>
        <w:rPr>
          <w:rFonts w:cs="Times New Roman"/>
          <w:b/>
        </w:rPr>
      </w:pPr>
      <w:r w:rsidRPr="005C4E2F">
        <w:rPr>
          <w:rFonts w:cs="Times New Roman"/>
          <w:b/>
        </w:rPr>
        <w:t>The privacy risks</w:t>
      </w:r>
    </w:p>
    <w:p w14:paraId="7FABBFA1"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Pr>
          <w:rFonts w:cs="Times New Roman"/>
        </w:rPr>
        <w:t xml:space="preserve">not applicable in our case </w:t>
      </w:r>
    </w:p>
    <w:p w14:paraId="7AE36D82" w14:textId="77777777" w:rsidR="00743F1E" w:rsidRPr="00035298" w:rsidRDefault="00743F1E" w:rsidP="00743F1E">
      <w:pPr>
        <w:pStyle w:val="Listenabsatz"/>
        <w:numPr>
          <w:ilvl w:val="0"/>
          <w:numId w:val="1"/>
        </w:numPr>
        <w:autoSpaceDE w:val="0"/>
        <w:autoSpaceDN w:val="0"/>
        <w:adjustRightInd w:val="0"/>
        <w:spacing w:line="240" w:lineRule="auto"/>
        <w:jc w:val="left"/>
        <w:rPr>
          <w:rFonts w:cs="Times New Roman"/>
          <w:b/>
        </w:rPr>
      </w:pPr>
      <w:r w:rsidRPr="00035298">
        <w:rPr>
          <w:rFonts w:cs="Times New Roman"/>
          <w:b/>
        </w:rPr>
        <w:t>The ethical issues</w:t>
      </w:r>
    </w:p>
    <w:p w14:paraId="01ED1555"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Pr>
          <w:rFonts w:cs="Times New Roman"/>
        </w:rPr>
        <w:t xml:space="preserve">Negative arguments: </w:t>
      </w:r>
    </w:p>
    <w:p w14:paraId="7F581027"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 xml:space="preserve">risk-transfer argument: transfers the problem of climate change and deployment of the emergency technology to next generations </w:t>
      </w:r>
    </w:p>
    <w:p w14:paraId="7070A3CD" w14:textId="77777777" w:rsidR="00743F1E" w:rsidRPr="0068187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 xml:space="preserve">termination problem: possible </w:t>
      </w:r>
      <w:r w:rsidRPr="004F2B3E">
        <w:t>have to be renewed every year for many decades</w:t>
      </w:r>
      <w:r>
        <w:t xml:space="preserve"> (100 years or more)</w:t>
      </w:r>
    </w:p>
    <w:p w14:paraId="2C48D527" w14:textId="77777777" w:rsidR="00743F1E" w:rsidRPr="0068187E" w:rsidRDefault="00743F1E" w:rsidP="00743F1E">
      <w:pPr>
        <w:pStyle w:val="Listenabsatz"/>
        <w:numPr>
          <w:ilvl w:val="2"/>
          <w:numId w:val="1"/>
        </w:numPr>
        <w:autoSpaceDE w:val="0"/>
        <w:autoSpaceDN w:val="0"/>
        <w:adjustRightInd w:val="0"/>
        <w:spacing w:line="240" w:lineRule="auto"/>
        <w:jc w:val="left"/>
        <w:rPr>
          <w:rFonts w:cs="Times New Roman"/>
        </w:rPr>
      </w:pPr>
      <w:r>
        <w:lastRenderedPageBreak/>
        <w:t>informed consent argument: n</w:t>
      </w:r>
      <w:r w:rsidRPr="0068187E">
        <w:t>o broad and well-informed consent of those affected</w:t>
      </w:r>
    </w:p>
    <w:p w14:paraId="0125FF61" w14:textId="77777777" w:rsidR="00743F1E" w:rsidRPr="0068187E" w:rsidRDefault="00743F1E" w:rsidP="00743F1E">
      <w:pPr>
        <w:pStyle w:val="Listenabsatz"/>
        <w:numPr>
          <w:ilvl w:val="2"/>
          <w:numId w:val="1"/>
        </w:numPr>
        <w:autoSpaceDE w:val="0"/>
        <w:autoSpaceDN w:val="0"/>
        <w:adjustRightInd w:val="0"/>
        <w:spacing w:line="240" w:lineRule="auto"/>
        <w:jc w:val="left"/>
        <w:rPr>
          <w:rFonts w:cs="Times New Roman"/>
        </w:rPr>
      </w:pPr>
      <w:r>
        <w:t>moral hazard argument: u</w:t>
      </w:r>
      <w:r w:rsidRPr="0068187E">
        <w:t>ndermining mitigation efforts</w:t>
      </w:r>
    </w:p>
    <w:p w14:paraId="29C2E749"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 xml:space="preserve">slippery slope argument: technology has unknown side effects that </w:t>
      </w:r>
    </w:p>
    <w:p w14:paraId="352F9418"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proofErr w:type="spellStart"/>
      <w:r>
        <w:rPr>
          <w:rFonts w:cs="Times New Roman"/>
        </w:rPr>
        <w:t>hybris</w:t>
      </w:r>
      <w:proofErr w:type="spellEnd"/>
      <w:r>
        <w:rPr>
          <w:rFonts w:cs="Times New Roman"/>
        </w:rPr>
        <w:t xml:space="preserve"> argument: h</w:t>
      </w:r>
      <w:r w:rsidRPr="0068187E">
        <w:rPr>
          <w:rFonts w:cs="Times New Roman"/>
        </w:rPr>
        <w:t>umanity plays God</w:t>
      </w:r>
    </w:p>
    <w:p w14:paraId="7D512103"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 xml:space="preserve">loss of intangible argument: whitening of the skies and redder sunset </w:t>
      </w:r>
      <w:r w:rsidRPr="005B3F70">
        <w:rPr>
          <w:rFonts w:cs="Times New Roman"/>
        </w:rPr>
        <w:t>can lead to the deprivation of the human life world</w:t>
      </w:r>
    </w:p>
    <w:p w14:paraId="2C6C72CE"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w:t>
      </w:r>
    </w:p>
    <w:p w14:paraId="577D0AB2" w14:textId="77777777" w:rsidR="00743F1E" w:rsidRDefault="00743F1E" w:rsidP="00743F1E">
      <w:pPr>
        <w:pStyle w:val="Listenabsatz"/>
        <w:numPr>
          <w:ilvl w:val="1"/>
          <w:numId w:val="1"/>
        </w:numPr>
        <w:autoSpaceDE w:val="0"/>
        <w:autoSpaceDN w:val="0"/>
        <w:adjustRightInd w:val="0"/>
        <w:spacing w:line="240" w:lineRule="auto"/>
        <w:jc w:val="left"/>
        <w:rPr>
          <w:rFonts w:cs="Times New Roman"/>
        </w:rPr>
      </w:pPr>
      <w:r>
        <w:rPr>
          <w:rFonts w:cs="Times New Roman"/>
        </w:rPr>
        <w:t xml:space="preserve">Positive arguments: </w:t>
      </w:r>
    </w:p>
    <w:p w14:paraId="731041E7" w14:textId="77777777" w:rsidR="00743F1E" w:rsidRDefault="00743F1E" w:rsidP="00743F1E">
      <w:pPr>
        <w:pStyle w:val="Listenabsatz"/>
        <w:numPr>
          <w:ilvl w:val="2"/>
          <w:numId w:val="1"/>
        </w:numPr>
        <w:autoSpaceDE w:val="0"/>
        <w:autoSpaceDN w:val="0"/>
        <w:adjustRightInd w:val="0"/>
        <w:spacing w:line="240" w:lineRule="auto"/>
        <w:jc w:val="left"/>
        <w:rPr>
          <w:rFonts w:cs="Times New Roman"/>
        </w:rPr>
      </w:pPr>
      <w:r>
        <w:rPr>
          <w:rFonts w:cs="Times New Roman"/>
        </w:rPr>
        <w:t xml:space="preserve">Arming the future: </w:t>
      </w:r>
      <w:r w:rsidRPr="001765B4">
        <w:rPr>
          <w:rFonts w:cs="Times New Roman"/>
        </w:rPr>
        <w:t>Research into the technology offers future generations a better basis for decision-making</w:t>
      </w:r>
    </w:p>
    <w:p w14:paraId="51BD22B1" w14:textId="77777777" w:rsidR="00743F1E" w:rsidRPr="001765B4" w:rsidRDefault="00743F1E" w:rsidP="00743F1E">
      <w:pPr>
        <w:pStyle w:val="Listenabsatz"/>
        <w:numPr>
          <w:ilvl w:val="0"/>
          <w:numId w:val="2"/>
        </w:numPr>
        <w:autoSpaceDE w:val="0"/>
        <w:autoSpaceDN w:val="0"/>
        <w:adjustRightInd w:val="0"/>
        <w:spacing w:line="240" w:lineRule="auto"/>
        <w:jc w:val="left"/>
        <w:rPr>
          <w:rFonts w:cs="Times New Roman"/>
        </w:rPr>
      </w:pPr>
      <w:r>
        <w:rPr>
          <w:rFonts w:cs="Times New Roman"/>
        </w:rPr>
        <w:t xml:space="preserve">No social co-benefits undertaking </w:t>
      </w:r>
      <w:r>
        <w:t>stratospheric aerosol injection (like increasing bio-diversity using biological approaches of carbon dioxide removal technologies)</w:t>
      </w:r>
    </w:p>
    <w:p w14:paraId="7E8FF131" w14:textId="77777777" w:rsidR="00743F1E" w:rsidRPr="00035298" w:rsidRDefault="00743F1E" w:rsidP="00743F1E">
      <w:pPr>
        <w:pStyle w:val="Listenabsatz"/>
        <w:numPr>
          <w:ilvl w:val="0"/>
          <w:numId w:val="2"/>
        </w:numPr>
        <w:autoSpaceDE w:val="0"/>
        <w:autoSpaceDN w:val="0"/>
        <w:adjustRightInd w:val="0"/>
        <w:spacing w:line="240" w:lineRule="auto"/>
        <w:jc w:val="left"/>
        <w:rPr>
          <w:rFonts w:cs="Times New Roman"/>
          <w:b/>
        </w:rPr>
      </w:pPr>
      <w:r w:rsidRPr="00035298">
        <w:rPr>
          <w:rFonts w:cs="Times New Roman"/>
          <w:b/>
        </w:rPr>
        <w:t>The controls</w:t>
      </w:r>
    </w:p>
    <w:p w14:paraId="7324DBB6" w14:textId="77777777" w:rsidR="00743F1E" w:rsidRDefault="00743F1E" w:rsidP="00743F1E">
      <w:pPr>
        <w:pStyle w:val="Listenabsatz"/>
        <w:numPr>
          <w:ilvl w:val="1"/>
          <w:numId w:val="2"/>
        </w:numPr>
        <w:autoSpaceDE w:val="0"/>
        <w:autoSpaceDN w:val="0"/>
        <w:adjustRightInd w:val="0"/>
        <w:spacing w:line="240" w:lineRule="auto"/>
        <w:jc w:val="left"/>
        <w:rPr>
          <w:rFonts w:cs="Times New Roman"/>
        </w:rPr>
      </w:pPr>
      <w:r w:rsidRPr="00035298">
        <w:rPr>
          <w:rFonts w:cs="Times New Roman"/>
        </w:rPr>
        <w:t xml:space="preserve">Technology used in case of an emergency solution </w:t>
      </w:r>
    </w:p>
    <w:p w14:paraId="680DB925" w14:textId="77777777" w:rsidR="00743F1E" w:rsidRDefault="00743F1E" w:rsidP="00743F1E">
      <w:pPr>
        <w:pStyle w:val="Listenabsatz"/>
        <w:numPr>
          <w:ilvl w:val="1"/>
          <w:numId w:val="2"/>
        </w:numPr>
        <w:autoSpaceDE w:val="0"/>
        <w:autoSpaceDN w:val="0"/>
        <w:adjustRightInd w:val="0"/>
        <w:spacing w:line="240" w:lineRule="auto"/>
        <w:jc w:val="left"/>
        <w:rPr>
          <w:rFonts w:cs="Times New Roman"/>
        </w:rPr>
      </w:pPr>
      <w:r w:rsidRPr="00035298">
        <w:rPr>
          <w:rFonts w:cs="Times New Roman"/>
        </w:rPr>
        <w:t xml:space="preserve">potential side effects will/need to be resolved before deployment </w:t>
      </w:r>
    </w:p>
    <w:p w14:paraId="7184AD29" w14:textId="77777777" w:rsidR="00743F1E" w:rsidRDefault="00743F1E" w:rsidP="00743F1E">
      <w:pPr>
        <w:pStyle w:val="Listenabsatz"/>
        <w:numPr>
          <w:ilvl w:val="2"/>
          <w:numId w:val="2"/>
        </w:numPr>
        <w:autoSpaceDE w:val="0"/>
        <w:autoSpaceDN w:val="0"/>
        <w:adjustRightInd w:val="0"/>
        <w:spacing w:line="240" w:lineRule="auto"/>
        <w:jc w:val="left"/>
        <w:rPr>
          <w:rFonts w:cs="Times New Roman"/>
        </w:rPr>
      </w:pPr>
      <w:r>
        <w:rPr>
          <w:rFonts w:cs="Times New Roman"/>
        </w:rPr>
        <w:t xml:space="preserve">complexity of the climate </w:t>
      </w:r>
      <w:r w:rsidRPr="00035298">
        <w:rPr>
          <w:rFonts w:cs="Times New Roman"/>
        </w:rPr>
        <w:t>prevents a final assessment</w:t>
      </w:r>
    </w:p>
    <w:p w14:paraId="09F3ED3E" w14:textId="77777777" w:rsidR="00743F1E" w:rsidRPr="00035298" w:rsidRDefault="00743F1E" w:rsidP="00743F1E">
      <w:pPr>
        <w:pStyle w:val="Listenabsatz"/>
        <w:numPr>
          <w:ilvl w:val="0"/>
          <w:numId w:val="2"/>
        </w:numPr>
        <w:autoSpaceDE w:val="0"/>
        <w:autoSpaceDN w:val="0"/>
        <w:adjustRightInd w:val="0"/>
        <w:spacing w:line="240" w:lineRule="auto"/>
        <w:jc w:val="left"/>
        <w:rPr>
          <w:rFonts w:cs="Times New Roman"/>
          <w:b/>
        </w:rPr>
      </w:pPr>
      <w:r w:rsidRPr="00035298">
        <w:rPr>
          <w:rFonts w:cs="Times New Roman"/>
          <w:b/>
        </w:rPr>
        <w:t xml:space="preserve">The </w:t>
      </w:r>
      <w:r>
        <w:rPr>
          <w:rFonts w:cs="Times New Roman"/>
          <w:b/>
        </w:rPr>
        <w:t>conclusions</w:t>
      </w:r>
    </w:p>
    <w:p w14:paraId="6DE11400" w14:textId="77777777" w:rsidR="00743F1E" w:rsidRPr="008C25E0" w:rsidRDefault="00743F1E" w:rsidP="00743F1E">
      <w:pPr>
        <w:pStyle w:val="Listenabsatz"/>
        <w:numPr>
          <w:ilvl w:val="1"/>
          <w:numId w:val="2"/>
        </w:numPr>
        <w:autoSpaceDE w:val="0"/>
        <w:autoSpaceDN w:val="0"/>
        <w:adjustRightInd w:val="0"/>
        <w:spacing w:line="240" w:lineRule="auto"/>
        <w:jc w:val="left"/>
      </w:pPr>
      <w:r>
        <w:rPr>
          <w:rFonts w:cs="Times New Roman"/>
        </w:rPr>
        <w:t xml:space="preserve">Technology in the scenario are under research and deployable, so that possible an ethical assessment will not be able to influence the deployment vs. </w:t>
      </w:r>
      <w:r w:rsidRPr="004C0387">
        <w:rPr>
          <w:rFonts w:cs="Times New Roman"/>
        </w:rPr>
        <w:t>the possible negative side effects are so severe that mitigation efforts are intensified</w:t>
      </w:r>
    </w:p>
    <w:p w14:paraId="031890D1" w14:textId="77777777" w:rsidR="00743F1E" w:rsidRDefault="00743F1E" w:rsidP="00E851F9"/>
    <w:p w14:paraId="24CB6B47" w14:textId="7870A088" w:rsidR="00E851F9" w:rsidRDefault="00E851F9" w:rsidP="00D0517B">
      <w:pPr>
        <w:pBdr>
          <w:bottom w:val="thinThickThinMediumGap" w:sz="18" w:space="1" w:color="auto"/>
        </w:pBdr>
        <w:rPr>
          <w:b/>
          <w:bCs/>
          <w:sz w:val="32"/>
        </w:rPr>
      </w:pPr>
    </w:p>
    <w:p w14:paraId="77E66BFF" w14:textId="5DCA17B6" w:rsidR="00743F1E" w:rsidRDefault="00743F1E" w:rsidP="00D0517B">
      <w:pPr>
        <w:rPr>
          <w:b/>
          <w:bCs/>
          <w:sz w:val="32"/>
        </w:rPr>
      </w:pPr>
    </w:p>
    <w:p w14:paraId="2CFC878C" w14:textId="7FDEE333" w:rsidR="00743F1E" w:rsidRDefault="00743F1E" w:rsidP="00D0517B">
      <w:pPr>
        <w:rPr>
          <w:b/>
          <w:bCs/>
          <w:sz w:val="32"/>
        </w:rPr>
      </w:pPr>
      <w:r>
        <w:rPr>
          <w:b/>
          <w:bCs/>
          <w:sz w:val="32"/>
        </w:rPr>
        <w:t xml:space="preserve">Typical study design: </w:t>
      </w:r>
    </w:p>
    <w:p w14:paraId="3BEAA783" w14:textId="4BA22562" w:rsidR="00D0517B" w:rsidRPr="00743F1E" w:rsidRDefault="00743F1E" w:rsidP="00743F1E">
      <w:pPr>
        <w:rPr>
          <w:b/>
          <w:bCs/>
          <w:sz w:val="32"/>
        </w:rPr>
      </w:pPr>
      <w:r>
        <w:rPr>
          <w:b/>
          <w:bCs/>
          <w:noProof/>
          <w:sz w:val="32"/>
        </w:rPr>
        <w:drawing>
          <wp:inline distT="0" distB="0" distL="0" distR="0" wp14:anchorId="0B393667" wp14:editId="2CE8C23E">
            <wp:extent cx="4478655" cy="3028315"/>
            <wp:effectExtent l="0" t="0" r="0" b="635"/>
            <wp:docPr id="1" name="Grafik 1" descr="C:\Users\fenn\AppData\Local\Microsoft\Windows\INetCache\Content.MSO\9C80B0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nn\AppData\Local\Microsoft\Windows\INetCache\Content.MSO\9C80B09D.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8655" cy="3028315"/>
                    </a:xfrm>
                    <a:prstGeom prst="rect">
                      <a:avLst/>
                    </a:prstGeom>
                    <a:noFill/>
                    <a:ln>
                      <a:noFill/>
                    </a:ln>
                  </pic:spPr>
                </pic:pic>
              </a:graphicData>
            </a:graphic>
          </wp:inline>
        </w:drawing>
      </w:r>
    </w:p>
    <w:sdt>
      <w:sdtPr>
        <w:rPr>
          <w:rFonts w:ascii="Times New Roman" w:eastAsiaTheme="minorHAnsi" w:hAnsi="Times New Roman" w:cstheme="minorBidi"/>
          <w:color w:val="auto"/>
          <w:sz w:val="24"/>
          <w:szCs w:val="24"/>
          <w:lang w:val="de-DE"/>
        </w:rPr>
        <w:id w:val="614796201"/>
        <w:docPartObj>
          <w:docPartGallery w:val="Bibliographies"/>
          <w:docPartUnique/>
        </w:docPartObj>
      </w:sdtPr>
      <w:sdtEndPr>
        <w:rPr>
          <w:rFonts w:asciiTheme="minorHAnsi" w:hAnsiTheme="minorHAnsi"/>
          <w:sz w:val="22"/>
          <w:szCs w:val="22"/>
          <w:lang w:val="en-US"/>
        </w:rPr>
      </w:sdtEndPr>
      <w:sdtContent>
        <w:p w14:paraId="34291126" w14:textId="3812FDDF" w:rsidR="00D0517B" w:rsidRDefault="00743F1E" w:rsidP="00D0517B">
          <w:pPr>
            <w:pStyle w:val="berschrift1"/>
          </w:pPr>
          <w:r>
            <w:t>Literature</w:t>
          </w:r>
        </w:p>
        <w:sdt>
          <w:sdtPr>
            <w:rPr>
              <w:rFonts w:asciiTheme="minorHAnsi" w:hAnsiTheme="minorHAnsi"/>
              <w:sz w:val="22"/>
              <w:szCs w:val="22"/>
            </w:rPr>
            <w:id w:val="111145805"/>
            <w:bibliography/>
          </w:sdtPr>
          <w:sdtEndPr/>
          <w:sdtContent>
            <w:p w14:paraId="45D14F67" w14:textId="77777777" w:rsidR="00743F1E" w:rsidRPr="00743F1E" w:rsidRDefault="00D0517B" w:rsidP="00743F1E">
              <w:pPr>
                <w:pStyle w:val="Literaturverzeichnis"/>
                <w:ind w:left="720" w:hanging="720"/>
                <w:rPr>
                  <w:noProof/>
                  <w:lang w:val="de-DE"/>
                </w:rPr>
              </w:pPr>
              <w:r>
                <w:fldChar w:fldCharType="begin"/>
              </w:r>
              <w:r>
                <w:instrText>BIBLIOGRAPHY</w:instrText>
              </w:r>
              <w:r>
                <w:fldChar w:fldCharType="separate"/>
              </w:r>
              <w:r w:rsidR="00743F1E">
                <w:rPr>
                  <w:noProof/>
                </w:rPr>
                <w:t xml:space="preserve">Kosow, H., &amp; Gaßner, R. (2008). </w:t>
              </w:r>
              <w:r w:rsidR="00743F1E">
                <w:rPr>
                  <w:i/>
                  <w:iCs/>
                  <w:noProof/>
                </w:rPr>
                <w:t>Methods of future and scenario analysis: overview, assessment, and selection criteria.</w:t>
              </w:r>
              <w:r w:rsidR="00743F1E">
                <w:rPr>
                  <w:noProof/>
                </w:rPr>
                <w:t xml:space="preserve"> </w:t>
              </w:r>
              <w:r w:rsidR="00743F1E" w:rsidRPr="00743F1E">
                <w:rPr>
                  <w:noProof/>
                  <w:lang w:val="de-DE"/>
                </w:rPr>
                <w:t>Tech. rep., Bonn: Deutsches Institut für Entwicklungspolitik gGmbH. Retrieved from https://www.ssoar.info/ssoar/bitstream/handle/document/19366/ssoar-2008-kosow_et_al-methods_of_future_and_scenario.pdf?isAllowed=y&amp;lnkname=ssoar-2008-kosow_et_al-methods_of_future_and_scenario.pdf</w:t>
              </w:r>
            </w:p>
            <w:p w14:paraId="09DFFD76" w14:textId="77777777" w:rsidR="00743F1E" w:rsidRDefault="00743F1E" w:rsidP="00743F1E">
              <w:pPr>
                <w:pStyle w:val="Literaturverzeichnis"/>
                <w:ind w:left="720" w:hanging="720"/>
                <w:rPr>
                  <w:noProof/>
                </w:rPr>
              </w:pPr>
              <w:r>
                <w:rPr>
                  <w:noProof/>
                </w:rPr>
                <w:t xml:space="preserve">Mietzner, D., &amp; Reger, G. (2005). Advantages and disadvantages of scenario approaches for strategic foresight. </w:t>
              </w:r>
              <w:r>
                <w:rPr>
                  <w:i/>
                  <w:iCs/>
                  <w:noProof/>
                </w:rPr>
                <w:t>International Journal of Technology Intelligence and Planning, 1</w:t>
              </w:r>
              <w:r>
                <w:rPr>
                  <w:noProof/>
                </w:rPr>
                <w:t>, 220–239.</w:t>
              </w:r>
            </w:p>
            <w:p w14:paraId="710B3F94" w14:textId="77777777" w:rsidR="00743F1E" w:rsidRDefault="00743F1E" w:rsidP="00743F1E">
              <w:pPr>
                <w:pStyle w:val="Literaturverzeichnis"/>
                <w:ind w:left="720" w:hanging="720"/>
                <w:rPr>
                  <w:noProof/>
                </w:rPr>
              </w:pPr>
              <w:r>
                <w:rPr>
                  <w:noProof/>
                </w:rPr>
                <w:t xml:space="preserve">Spaniol, M. J., &amp; Rowland, N. J. (2019). Defining scenario. </w:t>
              </w:r>
              <w:r>
                <w:rPr>
                  <w:i/>
                  <w:iCs/>
                  <w:noProof/>
                </w:rPr>
                <w:t>Futures &amp; Foresight Science, 1</w:t>
              </w:r>
              <w:r>
                <w:rPr>
                  <w:noProof/>
                </w:rPr>
                <w:t>, 1–13.</w:t>
              </w:r>
            </w:p>
            <w:p w14:paraId="5792F4F2" w14:textId="77777777" w:rsidR="00743F1E" w:rsidRDefault="00743F1E" w:rsidP="00743F1E">
              <w:pPr>
                <w:pStyle w:val="Literaturverzeichnis"/>
                <w:ind w:left="720" w:hanging="720"/>
                <w:rPr>
                  <w:noProof/>
                </w:rPr>
              </w:pPr>
              <w:r w:rsidRPr="00743F1E">
                <w:rPr>
                  <w:noProof/>
                  <w:lang w:val="de-DE"/>
                </w:rPr>
                <w:t xml:space="preserve">Wiebe, K., Zurek, M., Lord, S., Brzezina, N., Gabrielyan, G., Libertini, J., . . . </w:t>
              </w:r>
              <w:r>
                <w:rPr>
                  <w:noProof/>
                </w:rPr>
                <w:t xml:space="preserve">Westhoek, H. (2018). Scenario development and foresight analysis: exploring options to inform choices. </w:t>
              </w:r>
              <w:r>
                <w:rPr>
                  <w:i/>
                  <w:iCs/>
                  <w:noProof/>
                </w:rPr>
                <w:t>Annual Review of Environment and Resources, 43</w:t>
              </w:r>
              <w:r>
                <w:rPr>
                  <w:noProof/>
                </w:rPr>
                <w:t>, 545–570.</w:t>
              </w:r>
            </w:p>
            <w:p w14:paraId="3BCBBC35" w14:textId="77777777" w:rsidR="00743F1E" w:rsidRDefault="00743F1E" w:rsidP="00743F1E">
              <w:pPr>
                <w:pStyle w:val="Literaturverzeichnis"/>
                <w:ind w:left="720" w:hanging="720"/>
                <w:rPr>
                  <w:noProof/>
                </w:rPr>
              </w:pPr>
              <w:r>
                <w:rPr>
                  <w:noProof/>
                </w:rPr>
                <w:t xml:space="preserve">Wright, D., Finn, R., Gellert, R., Gutwirth, S., Schütz, P., Friedewald, M., . . . Mordini, E. (2014). Ethical dilemma scenarios and emerging technologies. </w:t>
              </w:r>
              <w:r>
                <w:rPr>
                  <w:i/>
                  <w:iCs/>
                  <w:noProof/>
                </w:rPr>
                <w:t>Technological Forecasting and Social Change, 87</w:t>
              </w:r>
              <w:r>
                <w:rPr>
                  <w:noProof/>
                </w:rPr>
                <w:t>, 325–336.</w:t>
              </w:r>
            </w:p>
            <w:p w14:paraId="4731FD1F" w14:textId="77777777" w:rsidR="00D0517B" w:rsidRDefault="00D0517B" w:rsidP="00743F1E">
              <w:r>
                <w:rPr>
                  <w:b/>
                  <w:bCs/>
                </w:rPr>
                <w:fldChar w:fldCharType="end"/>
              </w:r>
            </w:p>
          </w:sdtContent>
        </w:sdt>
      </w:sdtContent>
    </w:sdt>
    <w:p w14:paraId="63C87044" w14:textId="77777777" w:rsidR="00D0517B" w:rsidRDefault="00D0517B" w:rsidP="00D0517B"/>
    <w:p w14:paraId="1B87D106" w14:textId="77777777" w:rsidR="00D0517B" w:rsidRDefault="00D0517B" w:rsidP="00D0517B"/>
    <w:p w14:paraId="446A915F" w14:textId="77777777" w:rsidR="00D0517B" w:rsidRDefault="00D0517B" w:rsidP="00D0517B"/>
    <w:p w14:paraId="4757BA36" w14:textId="77777777" w:rsidR="00D0517B" w:rsidRDefault="00D0517B" w:rsidP="00D0517B"/>
    <w:p w14:paraId="0B8F7526" w14:textId="77777777" w:rsidR="00D0517B" w:rsidRDefault="00D0517B" w:rsidP="00D0517B"/>
    <w:p w14:paraId="198DE9E1" w14:textId="77777777" w:rsidR="00D0517B" w:rsidRDefault="00D0517B" w:rsidP="00D0517B"/>
    <w:p w14:paraId="7FFF890F" w14:textId="77777777" w:rsidR="00D0517B" w:rsidRPr="002661EB" w:rsidRDefault="00D0517B" w:rsidP="00D0517B">
      <w:pPr>
        <w:rPr>
          <w:rFonts w:ascii="Times New Roman" w:hAnsi="Times New Roman" w:cs="Times New Roman"/>
          <w:sz w:val="24"/>
          <w:szCs w:val="24"/>
        </w:rPr>
      </w:pPr>
      <w:bookmarkStart w:id="1" w:name="_GoBack"/>
      <w:bookmarkEnd w:id="1"/>
    </w:p>
    <w:p w14:paraId="58EDEDDB" w14:textId="77777777" w:rsidR="00117594" w:rsidRDefault="00117594"/>
    <w:sectPr w:rsidR="00117594" w:rsidSect="00BB6B2E">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B6D26C" w14:textId="77777777" w:rsidR="00D540DA" w:rsidRDefault="00D540DA" w:rsidP="001101C2">
      <w:pPr>
        <w:spacing w:after="0" w:line="240" w:lineRule="auto"/>
      </w:pPr>
      <w:r>
        <w:separator/>
      </w:r>
    </w:p>
  </w:endnote>
  <w:endnote w:type="continuationSeparator" w:id="0">
    <w:p w14:paraId="38CCA805" w14:textId="77777777" w:rsidR="00D540DA" w:rsidRDefault="00D540DA" w:rsidP="00110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FF638" w14:textId="77777777" w:rsidR="00D540DA" w:rsidRDefault="00D540DA" w:rsidP="001101C2">
      <w:pPr>
        <w:spacing w:after="0" w:line="240" w:lineRule="auto"/>
      </w:pPr>
      <w:r>
        <w:separator/>
      </w:r>
    </w:p>
  </w:footnote>
  <w:footnote w:type="continuationSeparator" w:id="0">
    <w:p w14:paraId="76831072" w14:textId="77777777" w:rsidR="00D540DA" w:rsidRDefault="00D540DA" w:rsidP="001101C2">
      <w:pPr>
        <w:spacing w:after="0" w:line="240" w:lineRule="auto"/>
      </w:pPr>
      <w:r>
        <w:continuationSeparator/>
      </w:r>
    </w:p>
  </w:footnote>
  <w:footnote w:id="1">
    <w:p w14:paraId="1E138490" w14:textId="55B0FE4E" w:rsidR="001101C2" w:rsidRPr="001101C2" w:rsidRDefault="001101C2">
      <w:pPr>
        <w:pStyle w:val="Funotentext"/>
      </w:pPr>
      <w:r>
        <w:rPr>
          <w:rStyle w:val="Funotenzeichen"/>
        </w:rPr>
        <w:footnoteRef/>
      </w:r>
      <w:r>
        <w:t xml:space="preserve"> </w:t>
      </w:r>
      <w:r w:rsidRPr="001101C2">
        <w:t>See scenarios of global scenario g</w:t>
      </w:r>
      <w:r>
        <w:t xml:space="preserve">roup: </w:t>
      </w:r>
      <w:hyperlink r:id="rId1" w:history="1">
        <w:r w:rsidRPr="00E27B7A">
          <w:rPr>
            <w:rStyle w:val="Hyperlink"/>
          </w:rPr>
          <w:t>https://gsg.org/scenarios.html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E148F"/>
    <w:multiLevelType w:val="hybridMultilevel"/>
    <w:tmpl w:val="EF228D1C"/>
    <w:lvl w:ilvl="0" w:tplc="6A2EDA8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2B3C8E"/>
    <w:multiLevelType w:val="hybridMultilevel"/>
    <w:tmpl w:val="9754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974157"/>
    <w:multiLevelType w:val="hybridMultilevel"/>
    <w:tmpl w:val="19B0B764"/>
    <w:lvl w:ilvl="0" w:tplc="4FEC6EF4">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166"/>
    <w:rsid w:val="001101C2"/>
    <w:rsid w:val="00117594"/>
    <w:rsid w:val="00191246"/>
    <w:rsid w:val="001F223D"/>
    <w:rsid w:val="00206E70"/>
    <w:rsid w:val="0022038C"/>
    <w:rsid w:val="003A70A3"/>
    <w:rsid w:val="003C751A"/>
    <w:rsid w:val="00433EAB"/>
    <w:rsid w:val="004E3400"/>
    <w:rsid w:val="00743F1E"/>
    <w:rsid w:val="007847C8"/>
    <w:rsid w:val="007F556F"/>
    <w:rsid w:val="008D2AFF"/>
    <w:rsid w:val="008F664B"/>
    <w:rsid w:val="00955924"/>
    <w:rsid w:val="009A5047"/>
    <w:rsid w:val="009D1590"/>
    <w:rsid w:val="00A00E8E"/>
    <w:rsid w:val="00A81E88"/>
    <w:rsid w:val="00BB6B2E"/>
    <w:rsid w:val="00C75B01"/>
    <w:rsid w:val="00CA1166"/>
    <w:rsid w:val="00D0517B"/>
    <w:rsid w:val="00D540DA"/>
    <w:rsid w:val="00D577E0"/>
    <w:rsid w:val="00DF19C0"/>
    <w:rsid w:val="00E70A2E"/>
    <w:rsid w:val="00E851F9"/>
    <w:rsid w:val="00FD1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A168"/>
  <w15:chartTrackingRefBased/>
  <w15:docId w15:val="{3D0F4136-1332-4BC7-951F-98C3D5A3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0517B"/>
  </w:style>
  <w:style w:type="paragraph" w:styleId="berschrift1">
    <w:name w:val="heading 1"/>
    <w:basedOn w:val="Standard"/>
    <w:next w:val="Standard"/>
    <w:link w:val="berschrift1Zchn"/>
    <w:uiPriority w:val="9"/>
    <w:qFormat/>
    <w:rsid w:val="00D051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517B"/>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D0517B"/>
    <w:pPr>
      <w:spacing w:after="0" w:line="480" w:lineRule="auto"/>
      <w:ind w:left="720"/>
      <w:contextualSpacing/>
      <w:jc w:val="both"/>
    </w:pPr>
    <w:rPr>
      <w:rFonts w:ascii="Times New Roman" w:hAnsi="Times New Roman"/>
      <w:sz w:val="24"/>
      <w:szCs w:val="24"/>
    </w:rPr>
  </w:style>
  <w:style w:type="paragraph" w:styleId="Literaturverzeichnis">
    <w:name w:val="Bibliography"/>
    <w:basedOn w:val="Standard"/>
    <w:next w:val="Standard"/>
    <w:uiPriority w:val="37"/>
    <w:unhideWhenUsed/>
    <w:rsid w:val="00D0517B"/>
    <w:pPr>
      <w:spacing w:after="0" w:line="480" w:lineRule="auto"/>
      <w:jc w:val="both"/>
    </w:pPr>
    <w:rPr>
      <w:rFonts w:ascii="Times New Roman" w:hAnsi="Times New Roman"/>
      <w:sz w:val="24"/>
      <w:szCs w:val="24"/>
    </w:rPr>
  </w:style>
  <w:style w:type="paragraph" w:styleId="Funotentext">
    <w:name w:val="footnote text"/>
    <w:basedOn w:val="Standard"/>
    <w:link w:val="FunotentextZchn"/>
    <w:uiPriority w:val="99"/>
    <w:semiHidden/>
    <w:unhideWhenUsed/>
    <w:rsid w:val="001101C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101C2"/>
    <w:rPr>
      <w:sz w:val="20"/>
      <w:szCs w:val="20"/>
    </w:rPr>
  </w:style>
  <w:style w:type="character" w:styleId="Funotenzeichen">
    <w:name w:val="footnote reference"/>
    <w:basedOn w:val="Absatz-Standardschriftart"/>
    <w:uiPriority w:val="99"/>
    <w:semiHidden/>
    <w:unhideWhenUsed/>
    <w:rsid w:val="001101C2"/>
    <w:rPr>
      <w:vertAlign w:val="superscript"/>
    </w:rPr>
  </w:style>
  <w:style w:type="character" w:styleId="Hyperlink">
    <w:name w:val="Hyperlink"/>
    <w:basedOn w:val="Absatz-Standardschriftart"/>
    <w:uiPriority w:val="99"/>
    <w:unhideWhenUsed/>
    <w:rsid w:val="001101C2"/>
    <w:rPr>
      <w:color w:val="0563C1" w:themeColor="hyperlink"/>
      <w:u w:val="single"/>
    </w:rPr>
  </w:style>
  <w:style w:type="character" w:styleId="NichtaufgelsteErwhnung">
    <w:name w:val="Unresolved Mention"/>
    <w:basedOn w:val="Absatz-Standardschriftart"/>
    <w:uiPriority w:val="99"/>
    <w:semiHidden/>
    <w:unhideWhenUsed/>
    <w:rsid w:val="00110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539766">
      <w:bodyDiv w:val="1"/>
      <w:marLeft w:val="0"/>
      <w:marRight w:val="0"/>
      <w:marTop w:val="0"/>
      <w:marBottom w:val="0"/>
      <w:divBdr>
        <w:top w:val="none" w:sz="0" w:space="0" w:color="auto"/>
        <w:left w:val="none" w:sz="0" w:space="0" w:color="auto"/>
        <w:bottom w:val="none" w:sz="0" w:space="0" w:color="auto"/>
        <w:right w:val="none" w:sz="0" w:space="0" w:color="auto"/>
      </w:divBdr>
    </w:div>
    <w:div w:id="235168715">
      <w:bodyDiv w:val="1"/>
      <w:marLeft w:val="0"/>
      <w:marRight w:val="0"/>
      <w:marTop w:val="0"/>
      <w:marBottom w:val="0"/>
      <w:divBdr>
        <w:top w:val="none" w:sz="0" w:space="0" w:color="auto"/>
        <w:left w:val="none" w:sz="0" w:space="0" w:color="auto"/>
        <w:bottom w:val="none" w:sz="0" w:space="0" w:color="auto"/>
        <w:right w:val="none" w:sz="0" w:space="0" w:color="auto"/>
      </w:divBdr>
    </w:div>
    <w:div w:id="440880538">
      <w:bodyDiv w:val="1"/>
      <w:marLeft w:val="0"/>
      <w:marRight w:val="0"/>
      <w:marTop w:val="0"/>
      <w:marBottom w:val="0"/>
      <w:divBdr>
        <w:top w:val="none" w:sz="0" w:space="0" w:color="auto"/>
        <w:left w:val="none" w:sz="0" w:space="0" w:color="auto"/>
        <w:bottom w:val="none" w:sz="0" w:space="0" w:color="auto"/>
        <w:right w:val="none" w:sz="0" w:space="0" w:color="auto"/>
      </w:divBdr>
    </w:div>
    <w:div w:id="500850794">
      <w:bodyDiv w:val="1"/>
      <w:marLeft w:val="0"/>
      <w:marRight w:val="0"/>
      <w:marTop w:val="0"/>
      <w:marBottom w:val="0"/>
      <w:divBdr>
        <w:top w:val="none" w:sz="0" w:space="0" w:color="auto"/>
        <w:left w:val="none" w:sz="0" w:space="0" w:color="auto"/>
        <w:bottom w:val="none" w:sz="0" w:space="0" w:color="auto"/>
        <w:right w:val="none" w:sz="0" w:space="0" w:color="auto"/>
      </w:divBdr>
    </w:div>
    <w:div w:id="566964109">
      <w:bodyDiv w:val="1"/>
      <w:marLeft w:val="0"/>
      <w:marRight w:val="0"/>
      <w:marTop w:val="0"/>
      <w:marBottom w:val="0"/>
      <w:divBdr>
        <w:top w:val="none" w:sz="0" w:space="0" w:color="auto"/>
        <w:left w:val="none" w:sz="0" w:space="0" w:color="auto"/>
        <w:bottom w:val="none" w:sz="0" w:space="0" w:color="auto"/>
        <w:right w:val="none" w:sz="0" w:space="0" w:color="auto"/>
      </w:divBdr>
    </w:div>
    <w:div w:id="755398097">
      <w:bodyDiv w:val="1"/>
      <w:marLeft w:val="0"/>
      <w:marRight w:val="0"/>
      <w:marTop w:val="0"/>
      <w:marBottom w:val="0"/>
      <w:divBdr>
        <w:top w:val="none" w:sz="0" w:space="0" w:color="auto"/>
        <w:left w:val="none" w:sz="0" w:space="0" w:color="auto"/>
        <w:bottom w:val="none" w:sz="0" w:space="0" w:color="auto"/>
        <w:right w:val="none" w:sz="0" w:space="0" w:color="auto"/>
      </w:divBdr>
    </w:div>
    <w:div w:id="925110146">
      <w:bodyDiv w:val="1"/>
      <w:marLeft w:val="0"/>
      <w:marRight w:val="0"/>
      <w:marTop w:val="0"/>
      <w:marBottom w:val="0"/>
      <w:divBdr>
        <w:top w:val="none" w:sz="0" w:space="0" w:color="auto"/>
        <w:left w:val="none" w:sz="0" w:space="0" w:color="auto"/>
        <w:bottom w:val="none" w:sz="0" w:space="0" w:color="auto"/>
        <w:right w:val="none" w:sz="0" w:space="0" w:color="auto"/>
      </w:divBdr>
    </w:div>
    <w:div w:id="1044017208">
      <w:bodyDiv w:val="1"/>
      <w:marLeft w:val="0"/>
      <w:marRight w:val="0"/>
      <w:marTop w:val="0"/>
      <w:marBottom w:val="0"/>
      <w:divBdr>
        <w:top w:val="none" w:sz="0" w:space="0" w:color="auto"/>
        <w:left w:val="none" w:sz="0" w:space="0" w:color="auto"/>
        <w:bottom w:val="none" w:sz="0" w:space="0" w:color="auto"/>
        <w:right w:val="none" w:sz="0" w:space="0" w:color="auto"/>
      </w:divBdr>
    </w:div>
    <w:div w:id="1136604232">
      <w:bodyDiv w:val="1"/>
      <w:marLeft w:val="0"/>
      <w:marRight w:val="0"/>
      <w:marTop w:val="0"/>
      <w:marBottom w:val="0"/>
      <w:divBdr>
        <w:top w:val="none" w:sz="0" w:space="0" w:color="auto"/>
        <w:left w:val="none" w:sz="0" w:space="0" w:color="auto"/>
        <w:bottom w:val="none" w:sz="0" w:space="0" w:color="auto"/>
        <w:right w:val="none" w:sz="0" w:space="0" w:color="auto"/>
      </w:divBdr>
    </w:div>
    <w:div w:id="1142310169">
      <w:bodyDiv w:val="1"/>
      <w:marLeft w:val="0"/>
      <w:marRight w:val="0"/>
      <w:marTop w:val="0"/>
      <w:marBottom w:val="0"/>
      <w:divBdr>
        <w:top w:val="none" w:sz="0" w:space="0" w:color="auto"/>
        <w:left w:val="none" w:sz="0" w:space="0" w:color="auto"/>
        <w:bottom w:val="none" w:sz="0" w:space="0" w:color="auto"/>
        <w:right w:val="none" w:sz="0" w:space="0" w:color="auto"/>
      </w:divBdr>
    </w:div>
    <w:div w:id="1302615435">
      <w:bodyDiv w:val="1"/>
      <w:marLeft w:val="0"/>
      <w:marRight w:val="0"/>
      <w:marTop w:val="0"/>
      <w:marBottom w:val="0"/>
      <w:divBdr>
        <w:top w:val="none" w:sz="0" w:space="0" w:color="auto"/>
        <w:left w:val="none" w:sz="0" w:space="0" w:color="auto"/>
        <w:bottom w:val="none" w:sz="0" w:space="0" w:color="auto"/>
        <w:right w:val="none" w:sz="0" w:space="0" w:color="auto"/>
      </w:divBdr>
    </w:div>
    <w:div w:id="1347639091">
      <w:bodyDiv w:val="1"/>
      <w:marLeft w:val="0"/>
      <w:marRight w:val="0"/>
      <w:marTop w:val="0"/>
      <w:marBottom w:val="0"/>
      <w:divBdr>
        <w:top w:val="none" w:sz="0" w:space="0" w:color="auto"/>
        <w:left w:val="none" w:sz="0" w:space="0" w:color="auto"/>
        <w:bottom w:val="none" w:sz="0" w:space="0" w:color="auto"/>
        <w:right w:val="none" w:sz="0" w:space="0" w:color="auto"/>
      </w:divBdr>
    </w:div>
    <w:div w:id="1425953095">
      <w:bodyDiv w:val="1"/>
      <w:marLeft w:val="0"/>
      <w:marRight w:val="0"/>
      <w:marTop w:val="0"/>
      <w:marBottom w:val="0"/>
      <w:divBdr>
        <w:top w:val="none" w:sz="0" w:space="0" w:color="auto"/>
        <w:left w:val="none" w:sz="0" w:space="0" w:color="auto"/>
        <w:bottom w:val="none" w:sz="0" w:space="0" w:color="auto"/>
        <w:right w:val="none" w:sz="0" w:space="0" w:color="auto"/>
      </w:divBdr>
    </w:div>
    <w:div w:id="1442457058">
      <w:bodyDiv w:val="1"/>
      <w:marLeft w:val="0"/>
      <w:marRight w:val="0"/>
      <w:marTop w:val="0"/>
      <w:marBottom w:val="0"/>
      <w:divBdr>
        <w:top w:val="none" w:sz="0" w:space="0" w:color="auto"/>
        <w:left w:val="none" w:sz="0" w:space="0" w:color="auto"/>
        <w:bottom w:val="none" w:sz="0" w:space="0" w:color="auto"/>
        <w:right w:val="none" w:sz="0" w:space="0" w:color="auto"/>
      </w:divBdr>
    </w:div>
    <w:div w:id="1505586880">
      <w:bodyDiv w:val="1"/>
      <w:marLeft w:val="0"/>
      <w:marRight w:val="0"/>
      <w:marTop w:val="0"/>
      <w:marBottom w:val="0"/>
      <w:divBdr>
        <w:top w:val="none" w:sz="0" w:space="0" w:color="auto"/>
        <w:left w:val="none" w:sz="0" w:space="0" w:color="auto"/>
        <w:bottom w:val="none" w:sz="0" w:space="0" w:color="auto"/>
        <w:right w:val="none" w:sz="0" w:space="0" w:color="auto"/>
      </w:divBdr>
    </w:div>
    <w:div w:id="1589382910">
      <w:bodyDiv w:val="1"/>
      <w:marLeft w:val="0"/>
      <w:marRight w:val="0"/>
      <w:marTop w:val="0"/>
      <w:marBottom w:val="0"/>
      <w:divBdr>
        <w:top w:val="none" w:sz="0" w:space="0" w:color="auto"/>
        <w:left w:val="none" w:sz="0" w:space="0" w:color="auto"/>
        <w:bottom w:val="none" w:sz="0" w:space="0" w:color="auto"/>
        <w:right w:val="none" w:sz="0" w:space="0" w:color="auto"/>
      </w:divBdr>
    </w:div>
    <w:div w:id="1656371963">
      <w:bodyDiv w:val="1"/>
      <w:marLeft w:val="0"/>
      <w:marRight w:val="0"/>
      <w:marTop w:val="0"/>
      <w:marBottom w:val="0"/>
      <w:divBdr>
        <w:top w:val="none" w:sz="0" w:space="0" w:color="auto"/>
        <w:left w:val="none" w:sz="0" w:space="0" w:color="auto"/>
        <w:bottom w:val="none" w:sz="0" w:space="0" w:color="auto"/>
        <w:right w:val="none" w:sz="0" w:space="0" w:color="auto"/>
      </w:divBdr>
    </w:div>
    <w:div w:id="1744713932">
      <w:bodyDiv w:val="1"/>
      <w:marLeft w:val="0"/>
      <w:marRight w:val="0"/>
      <w:marTop w:val="0"/>
      <w:marBottom w:val="0"/>
      <w:divBdr>
        <w:top w:val="none" w:sz="0" w:space="0" w:color="auto"/>
        <w:left w:val="none" w:sz="0" w:space="0" w:color="auto"/>
        <w:bottom w:val="none" w:sz="0" w:space="0" w:color="auto"/>
        <w:right w:val="none" w:sz="0" w:space="0" w:color="auto"/>
      </w:divBdr>
    </w:div>
    <w:div w:id="1813015230">
      <w:bodyDiv w:val="1"/>
      <w:marLeft w:val="0"/>
      <w:marRight w:val="0"/>
      <w:marTop w:val="0"/>
      <w:marBottom w:val="0"/>
      <w:divBdr>
        <w:top w:val="none" w:sz="0" w:space="0" w:color="auto"/>
        <w:left w:val="none" w:sz="0" w:space="0" w:color="auto"/>
        <w:bottom w:val="none" w:sz="0" w:space="0" w:color="auto"/>
        <w:right w:val="none" w:sz="0" w:space="0" w:color="auto"/>
      </w:divBdr>
    </w:div>
    <w:div w:id="1824547717">
      <w:bodyDiv w:val="1"/>
      <w:marLeft w:val="0"/>
      <w:marRight w:val="0"/>
      <w:marTop w:val="0"/>
      <w:marBottom w:val="0"/>
      <w:divBdr>
        <w:top w:val="none" w:sz="0" w:space="0" w:color="auto"/>
        <w:left w:val="none" w:sz="0" w:space="0" w:color="auto"/>
        <w:bottom w:val="none" w:sz="0" w:space="0" w:color="auto"/>
        <w:right w:val="none" w:sz="0" w:space="0" w:color="auto"/>
      </w:divBdr>
    </w:div>
    <w:div w:id="2049719991">
      <w:bodyDiv w:val="1"/>
      <w:marLeft w:val="0"/>
      <w:marRight w:val="0"/>
      <w:marTop w:val="0"/>
      <w:marBottom w:val="0"/>
      <w:divBdr>
        <w:top w:val="none" w:sz="0" w:space="0" w:color="auto"/>
        <w:left w:val="none" w:sz="0" w:space="0" w:color="auto"/>
        <w:bottom w:val="none" w:sz="0" w:space="0" w:color="auto"/>
        <w:right w:val="none" w:sz="0" w:space="0" w:color="auto"/>
      </w:divBdr>
    </w:div>
    <w:div w:id="211158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gsg.org/scenari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2014</b:Year>
    <b:Volume>87</b:Volume>
    <b:BIBTEX_Entry>article</b:BIBTEX_Entry>
    <b:SourceType>JournalArticle</b:SourceType>
    <b:Title>Ethical dilemma scenarios and emerging technologies</b:Title>
    <b:Tag>wright2014ethical</b:Tag>
    <b:Publisher>Elsevier</b:Publisher>
    <b:Author>
      <b:Author>
        <b:NameList>
          <b:Person>
            <b:Last>Wright</b:Last>
            <b:First>David</b:First>
          </b:Person>
          <b:Person>
            <b:Last>Finn</b:Last>
            <b:First>Rachel</b:First>
          </b:Person>
          <b:Person>
            <b:Last>Gellert</b:Last>
            <b:First>Raphael</b:First>
          </b:Person>
          <b:Person>
            <b:Last>Gutwirth</b:Last>
            <b:First>Serge</b:First>
          </b:Person>
          <b:Person>
            <b:Last>Schütz</b:Last>
            <b:First>Philip</b:First>
          </b:Person>
          <b:Person>
            <b:Last>Friedewald</b:Last>
            <b:First>Michael</b:First>
          </b:Person>
          <b:Person>
            <b:Last>Venier</b:Last>
            <b:First>Silvia</b:First>
          </b:Person>
          <b:Person>
            <b:Last>Mordini</b:Last>
            <b:First>Emilio</b:First>
          </b:Person>
        </b:NameList>
      </b:Author>
    </b:Author>
    <b:Pages>325–336</b:Pages>
    <b:JournalName>Technological Forecasting and Social Change</b:JournalName>
    <b:RefOrder>3</b:RefOrder>
  </b:Source>
  <b:Source>
    <b:Year>2019</b:Year>
    <b:Volume>1</b:Volume>
    <b:BIBTEX_Entry>article</b:BIBTEX_Entry>
    <b:SourceType>JournalArticle</b:SourceType>
    <b:Title>Defining scenario</b:Title>
    <b:Tag>spaniol2019defining</b:Tag>
    <b:Publisher>Wiley Online Library</b:Publisher>
    <b:Author>
      <b:Author>
        <b:NameList>
          <b:Person>
            <b:Last>Spaniol</b:Last>
            <b:Middle>J.</b:Middle>
            <b:First>Matthew</b:First>
          </b:Person>
          <b:Person>
            <b:Last>Rowland</b:Last>
            <b:Middle>J.</b:Middle>
            <b:First>Nicholas</b:First>
          </b:Person>
        </b:NameList>
      </b:Author>
    </b:Author>
    <b:Pages>1–13</b:Pages>
    <b:JournalName>Futures &amp; Foresight Science</b:JournalName>
    <b:Number>1</b:Number>
    <b:RefOrder>1</b:RefOrder>
  </b:Source>
  <b:Source>
    <b:Year>2008</b:Year>
    <b:BIBTEX_Entry>techreport</b:BIBTEX_Entry>
    <b:SourceType>Report</b:SourceType>
    <b:Title>Methods of future and scenario analysis: overview, assessment, and selection criteria</b:Title>
    <b:Tag>kosow2008methods</b:Tag>
    <b:Institution>Bonn: Deutsches Institut für Entwicklungspolitik gGmbH</b:Institution>
    <b:URL>https://www.ssoar.info/ssoar/bitstream/handle/document/19366/ssoar-2008-kosow_et_al-methods_of_future_and_scenario.pdf?isAllowed=y&amp;lnkname=ssoar-2008-kosow_et_al-methods_of_future_and_scenario.pdf</b:URL>
    <b:Author>
      <b:Author>
        <b:NameList>
          <b:Person>
            <b:Last>Kosow</b:Last>
            <b:First>Hannah</b:First>
          </b:Person>
          <b:Person>
            <b:Last>Gaßner</b:Last>
            <b:First>Robert</b:First>
          </b:Person>
        </b:NameList>
      </b:Author>
    </b:Author>
    <b:ThesisType>Tech. rep.</b:ThesisType>
    <b:RefOrder>2</b:RefOrder>
  </b:Source>
  <b:Source>
    <b:Year>2005</b:Year>
    <b:Volume>1</b:Volume>
    <b:BIBTEX_Entry>article</b:BIBTEX_Entry>
    <b:SourceType>JournalArticle</b:SourceType>
    <b:Title>Advantages and disadvantages of scenario approaches for strategic foresight</b:Title>
    <b:Tag>mietzner2005advantages</b:Tag>
    <b:Publisher>Inderscience Publishers</b:Publisher>
    <b:Author>
      <b:Author>
        <b:NameList>
          <b:Person>
            <b:Last>Mietzner</b:Last>
            <b:First>Dana</b:First>
          </b:Person>
          <b:Person>
            <b:Last>Reger</b:Last>
            <b:First>Guido</b:First>
          </b:Person>
        </b:NameList>
      </b:Author>
    </b:Author>
    <b:Pages>220–239</b:Pages>
    <b:JournalName>International Journal of Technology Intelligence and Planning</b:JournalName>
    <b:Number>2</b:Number>
    <b:RefOrder>4</b:RefOrder>
  </b:Source>
  <b:Source>
    <b:Year>2018</b:Year>
    <b:Volume>43</b:Volume>
    <b:BIBTEX_Entry>article</b:BIBTEX_Entry>
    <b:SourceType>JournalArticle</b:SourceType>
    <b:Title>Scenario development and foresight analysis: exploring options to inform choices</b:Title>
    <b:Tag>wiebe2018scenario</b:Tag>
    <b:Publisher>Annual Reviews</b:Publisher>
    <b:Author>
      <b:Author>
        <b:NameList>
          <b:Person>
            <b:Last>Wiebe</b:Last>
            <b:First>Keith</b:First>
          </b:Person>
          <b:Person>
            <b:Last>Zurek</b:Last>
            <b:First>Monika</b:First>
          </b:Person>
          <b:Person>
            <b:Last>Lord</b:Last>
            <b:First>Steven</b:First>
          </b:Person>
          <b:Person>
            <b:Last>Brzezina</b:Last>
            <b:First>Natalia</b:First>
          </b:Person>
          <b:Person>
            <b:Last>Gabrielyan</b:Last>
            <b:First>Gnel</b:First>
          </b:Person>
          <b:Person>
            <b:Last>Libertini</b:Last>
            <b:First>Jessica</b:First>
          </b:Person>
          <b:Person>
            <b:Last>Loch</b:Last>
            <b:First>Adam</b:First>
          </b:Person>
          <b:Person>
            <b:Last>Thapa-Parajuli</b:Last>
            <b:First>Resham</b:First>
          </b:Person>
          <b:Person>
            <b:Last>Vervoort</b:Last>
            <b:First>Joost</b:First>
          </b:Person>
          <b:Person>
            <b:Last>Westhoek</b:Last>
            <b:First>Henk</b:First>
          </b:Person>
        </b:NameList>
      </b:Author>
    </b:Author>
    <b:Pages>545–570</b:Pages>
    <b:JournalName>Annual Review of Environment and Resources</b:JournalName>
    <b:RefOrder>5</b:RefOrder>
  </b:Source>
</b:Sources>
</file>

<file path=customXml/itemProps1.xml><?xml version="1.0" encoding="utf-8"?>
<ds:datastoreItem xmlns:ds="http://schemas.openxmlformats.org/officeDocument/2006/customXml" ds:itemID="{E4398514-3B57-4A08-BA20-170BDCFE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1333</Words>
  <Characters>7601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19</cp:revision>
  <cp:lastPrinted>2022-06-22T16:12:00Z</cp:lastPrinted>
  <dcterms:created xsi:type="dcterms:W3CDTF">2022-06-17T10:37:00Z</dcterms:created>
  <dcterms:modified xsi:type="dcterms:W3CDTF">2022-06-22T16:13:00Z</dcterms:modified>
</cp:coreProperties>
</file>