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025B9" w14:textId="22EA7140" w:rsidR="00D75660" w:rsidRDefault="00CD5DB0" w:rsidP="009F01B8">
      <w:pPr>
        <w:pStyle w:val="berschrift2"/>
      </w:pPr>
      <w:bookmarkStart w:id="0" w:name="_GoBack"/>
      <w:bookmarkEnd w:id="0"/>
      <w:r>
        <w:t xml:space="preserve">Table identifying central key factors: </w:t>
      </w:r>
    </w:p>
    <w:p w14:paraId="170777B9" w14:textId="1488B506" w:rsidR="00CD5DB0" w:rsidRDefault="00CD5DB0"/>
    <w:tbl>
      <w:tblPr>
        <w:tblW w:w="10192" w:type="dxa"/>
        <w:tblLook w:val="04A0" w:firstRow="1" w:lastRow="0" w:firstColumn="1" w:lastColumn="0" w:noHBand="0" w:noVBand="1"/>
      </w:tblPr>
      <w:tblGrid>
        <w:gridCol w:w="1429"/>
        <w:gridCol w:w="2144"/>
        <w:gridCol w:w="2800"/>
        <w:gridCol w:w="2750"/>
        <w:gridCol w:w="1135"/>
      </w:tblGrid>
      <w:tr w:rsidR="00CD5DB0" w:rsidRPr="00CD5DB0" w14:paraId="5B0C45B5" w14:textId="77777777" w:rsidTr="00873D47">
        <w:trPr>
          <w:trHeight w:val="347"/>
        </w:trPr>
        <w:tc>
          <w:tcPr>
            <w:tcW w:w="142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279FB2" w14:textId="416E310F"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Importance</w:t>
            </w:r>
            <w:r w:rsidR="00792AC8">
              <w:rPr>
                <w:rFonts w:ascii="Calibri" w:eastAsia="Times New Roman" w:hAnsi="Calibri" w:cs="Calibri"/>
                <w:color w:val="000000"/>
              </w:rPr>
              <w:t xml:space="preserve"> (1-10)</w:t>
            </w:r>
          </w:p>
        </w:tc>
        <w:tc>
          <w:tcPr>
            <w:tcW w:w="2144" w:type="dxa"/>
            <w:tcBorders>
              <w:top w:val="single" w:sz="4" w:space="0" w:color="auto"/>
              <w:left w:val="nil"/>
              <w:bottom w:val="single" w:sz="4" w:space="0" w:color="auto"/>
              <w:right w:val="single" w:sz="4" w:space="0" w:color="auto"/>
            </w:tcBorders>
            <w:shd w:val="clear" w:color="auto" w:fill="auto"/>
            <w:noWrap/>
            <w:vAlign w:val="bottom"/>
            <w:hideMark/>
          </w:tcPr>
          <w:p w14:paraId="1A266647" w14:textId="1DC74618"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Issue</w:t>
            </w:r>
            <w:r w:rsidR="00873D47">
              <w:rPr>
                <w:rFonts w:ascii="Calibri" w:eastAsia="Times New Roman" w:hAnsi="Calibri" w:cs="Calibri"/>
                <w:color w:val="000000"/>
              </w:rPr>
              <w:t xml:space="preserve"> / Topic</w:t>
            </w:r>
          </w:p>
        </w:tc>
        <w:tc>
          <w:tcPr>
            <w:tcW w:w="2800" w:type="dxa"/>
            <w:tcBorders>
              <w:top w:val="single" w:sz="4" w:space="0" w:color="auto"/>
              <w:left w:val="nil"/>
              <w:bottom w:val="single" w:sz="4" w:space="0" w:color="auto"/>
              <w:right w:val="single" w:sz="4" w:space="0" w:color="auto"/>
            </w:tcBorders>
            <w:shd w:val="clear" w:color="auto" w:fill="auto"/>
            <w:noWrap/>
            <w:vAlign w:val="bottom"/>
            <w:hideMark/>
          </w:tcPr>
          <w:p w14:paraId="4E2E79E0"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positive aspects</w:t>
            </w:r>
          </w:p>
        </w:tc>
        <w:tc>
          <w:tcPr>
            <w:tcW w:w="2750" w:type="dxa"/>
            <w:tcBorders>
              <w:top w:val="single" w:sz="4" w:space="0" w:color="auto"/>
              <w:left w:val="nil"/>
              <w:bottom w:val="single" w:sz="4" w:space="0" w:color="auto"/>
              <w:right w:val="single" w:sz="4" w:space="0" w:color="auto"/>
            </w:tcBorders>
            <w:shd w:val="clear" w:color="auto" w:fill="auto"/>
            <w:noWrap/>
            <w:vAlign w:val="bottom"/>
            <w:hideMark/>
          </w:tcPr>
          <w:p w14:paraId="6806562C"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negative aspects</w:t>
            </w:r>
          </w:p>
        </w:tc>
        <w:tc>
          <w:tcPr>
            <w:tcW w:w="1069" w:type="dxa"/>
            <w:tcBorders>
              <w:top w:val="single" w:sz="4" w:space="0" w:color="auto"/>
              <w:left w:val="nil"/>
              <w:bottom w:val="single" w:sz="4" w:space="0" w:color="auto"/>
              <w:right w:val="single" w:sz="4" w:space="0" w:color="auto"/>
            </w:tcBorders>
            <w:shd w:val="clear" w:color="auto" w:fill="auto"/>
            <w:noWrap/>
            <w:vAlign w:val="bottom"/>
            <w:hideMark/>
          </w:tcPr>
          <w:p w14:paraId="5624C0FB"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Sources</w:t>
            </w:r>
          </w:p>
        </w:tc>
      </w:tr>
      <w:tr w:rsidR="00CD5DB0" w:rsidRPr="00CD5DB0" w14:paraId="6D161944"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00DB1982" w14:textId="6EFE1603"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706E4127" w14:textId="249F5738" w:rsidR="00CD5DB0" w:rsidRPr="00CD5DB0" w:rsidRDefault="00CD5DB0" w:rsidP="00873D47">
            <w:pPr>
              <w:spacing w:after="0" w:line="240" w:lineRule="auto"/>
              <w:rPr>
                <w:rFonts w:ascii="Calibri" w:eastAsia="Times New Roman" w:hAnsi="Calibri" w:cs="Calibri"/>
                <w:color w:val="000000"/>
              </w:rPr>
            </w:pPr>
            <w:r w:rsidRPr="00CD5DB0">
              <w:rPr>
                <w:rFonts w:ascii="Calibri" w:eastAsia="Times New Roman" w:hAnsi="Calibri" w:cs="Calibri"/>
                <w:color w:val="000000"/>
              </w:rPr>
              <w:t>Anthropomorphism</w:t>
            </w:r>
            <w:r>
              <w:rPr>
                <w:rFonts w:ascii="Calibri" w:eastAsia="Times New Roman" w:hAnsi="Calibri" w:cs="Calibri"/>
                <w:color w:val="000000"/>
              </w:rPr>
              <w:t>*</w:t>
            </w:r>
          </w:p>
        </w:tc>
        <w:tc>
          <w:tcPr>
            <w:tcW w:w="2800" w:type="dxa"/>
            <w:tcBorders>
              <w:top w:val="nil"/>
              <w:left w:val="nil"/>
              <w:bottom w:val="single" w:sz="4" w:space="0" w:color="auto"/>
              <w:right w:val="single" w:sz="4" w:space="0" w:color="auto"/>
            </w:tcBorders>
            <w:shd w:val="clear" w:color="auto" w:fill="auto"/>
            <w:noWrap/>
            <w:vAlign w:val="bottom"/>
            <w:hideMark/>
          </w:tcPr>
          <w:p w14:paraId="2013A6BF" w14:textId="0FE1C900" w:rsidR="00CD5DB0" w:rsidRDefault="00CD5DB0" w:rsidP="00CD5DB0">
            <w:pPr>
              <w:spacing w:after="0" w:line="240" w:lineRule="auto"/>
              <w:rPr>
                <w:rFonts w:ascii="Calibri" w:eastAsia="Times New Roman" w:hAnsi="Calibri" w:cs="Calibri"/>
                <w:color w:val="000000"/>
              </w:rPr>
            </w:pPr>
            <w:r>
              <w:rPr>
                <w:rFonts w:ascii="Calibri" w:eastAsia="Times New Roman" w:hAnsi="Calibri" w:cs="Calibri"/>
                <w:color w:val="000000"/>
              </w:rPr>
              <w:t>Motivated by:</w:t>
            </w:r>
          </w:p>
          <w:p w14:paraId="4CC2B291" w14:textId="6B1526EC" w:rsid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Accessibility</w:t>
            </w:r>
          </w:p>
          <w:p w14:paraId="04477079" w14:textId="77777777" w:rsid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Effective motivation</w:t>
            </w:r>
          </w:p>
          <w:p w14:paraId="50C66676" w14:textId="03F0529B" w:rsidR="00CD5DB0" w:rsidRP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Social motivation</w:t>
            </w:r>
          </w:p>
        </w:tc>
        <w:tc>
          <w:tcPr>
            <w:tcW w:w="2750" w:type="dxa"/>
            <w:tcBorders>
              <w:top w:val="nil"/>
              <w:left w:val="nil"/>
              <w:bottom w:val="single" w:sz="4" w:space="0" w:color="auto"/>
              <w:right w:val="single" w:sz="4" w:space="0" w:color="auto"/>
            </w:tcBorders>
            <w:shd w:val="clear" w:color="auto" w:fill="auto"/>
            <w:noWrap/>
            <w:vAlign w:val="bottom"/>
            <w:hideMark/>
          </w:tcPr>
          <w:p w14:paraId="2BBC4C4B" w14:textId="77777777" w:rsidR="00CD5DB0"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The more human-like a system acts, the broader the expectations that people may have for it</w:t>
            </w:r>
          </w:p>
          <w:p w14:paraId="18D7EAF6"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 xml:space="preserve">ascribe implicitly mental capabilities to agents (that actually do not own), especially at the beginning, when agents </w:t>
            </w:r>
            <w:proofErr w:type="gramStart"/>
            <w:r w:rsidRPr="00873D47">
              <w:rPr>
                <w:rFonts w:ascii="Calibri" w:eastAsia="Times New Roman" w:hAnsi="Calibri" w:cs="Calibri"/>
                <w:color w:val="000000"/>
              </w:rPr>
              <w:t>responds</w:t>
            </w:r>
            <w:proofErr w:type="gramEnd"/>
            <w:r w:rsidRPr="00873D47">
              <w:rPr>
                <w:rFonts w:ascii="Calibri" w:eastAsia="Times New Roman" w:hAnsi="Calibri" w:cs="Calibri"/>
                <w:color w:val="000000"/>
              </w:rPr>
              <w:t xml:space="preserve"> correctly to user’s needs and commands</w:t>
            </w:r>
          </w:p>
          <w:p w14:paraId="66559475" w14:textId="07832020" w:rsidR="00873D47" w:rsidRPr="00873D47" w:rsidRDefault="00873D47" w:rsidP="00873D47">
            <w:pPr>
              <w:spacing w:after="0" w:line="240" w:lineRule="auto"/>
              <w:rPr>
                <w:rFonts w:ascii="Calibri" w:eastAsia="Times New Roman" w:hAnsi="Calibri" w:cs="Calibri"/>
                <w:color w:val="000000"/>
              </w:rPr>
            </w:pPr>
            <w:r w:rsidRPr="00873D47">
              <w:rPr>
                <w:rFonts w:ascii="Calibri" w:eastAsia="Times New Roman" w:hAnsi="Calibri" w:cs="Calibri"/>
                <w:b/>
                <w:color w:val="000000"/>
              </w:rPr>
              <w:t>Uncanny valley</w:t>
            </w:r>
            <w:r>
              <w:rPr>
                <w:rFonts w:ascii="Calibri" w:eastAsia="Times New Roman" w:hAnsi="Calibri" w:cs="Calibri"/>
                <w:color w:val="000000"/>
              </w:rPr>
              <w:t xml:space="preserve">: </w:t>
            </w:r>
            <w:r w:rsidRPr="00873D47">
              <w:rPr>
                <w:rFonts w:ascii="Calibri" w:eastAsia="Times New Roman" w:hAnsi="Calibri" w:cs="Calibri"/>
                <w:color w:val="000000"/>
              </w:rPr>
              <w:t>excessive similarity produces an abrupt descent of the sense of familiarity, until descend causing a sense of repulsion and disturbance in the user</w:t>
            </w:r>
            <w:r>
              <w:rPr>
                <w:rFonts w:ascii="Calibri" w:eastAsia="Times New Roman" w:hAnsi="Calibri" w:cs="Calibri"/>
                <w:color w:val="000000"/>
              </w:rPr>
              <w:t xml:space="preserve"> -&gt; reduced realism inconsistency</w:t>
            </w:r>
          </w:p>
        </w:tc>
        <w:tc>
          <w:tcPr>
            <w:tcW w:w="1069" w:type="dxa"/>
            <w:tcBorders>
              <w:top w:val="nil"/>
              <w:left w:val="nil"/>
              <w:bottom w:val="single" w:sz="4" w:space="0" w:color="auto"/>
              <w:right w:val="single" w:sz="4" w:space="0" w:color="auto"/>
            </w:tcBorders>
            <w:shd w:val="clear" w:color="auto" w:fill="auto"/>
            <w:noWrap/>
            <w:vAlign w:val="bottom"/>
            <w:hideMark/>
          </w:tcPr>
          <w:p w14:paraId="7C2D334D" w14:textId="067092A4" w:rsidR="00CD5DB0" w:rsidRPr="00CD5DB0" w:rsidRDefault="00873D47" w:rsidP="00CD5DB0">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{"citationID":"XsZSNKZ7","properties":{"formattedCitation":"(Guiot, 2019; Torresen, 2018)","plainCitation":"(Guiot, 2019; Torresen, 2018)","noteIndex":0},"citationItems":[{"id":8,"uris":["http://zotero.org/users/9728326/items/3HC6ANSG"],"itemData":{"id":8,"type":"thesis","abstract":"Despite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Agents","author":[{"family":"Guiot","given":"Valeria"}],"issued":{"date-parts":[["2019"]]}}},{"id":12,"uris":["http://zotero.org/users/9728326/items/3AUHPT2H"],"itemData":{"id":12,"type":"article-journal","abstract":"In recent years, there has been increased attention on the possible impact of future robotics and AI systems. Prominent thinkers have publicly warned about the risk of a dystopian future when the complexity of these systems progresses further. These warnings stand in contrast to the current state-of-the-art of the robotics and AI technology. This article reviews work considering both the future potential of robotics and AI systems, and ethical considerations that need to be taken in order to avoid a dystopian future. References to recent initiatives to outline ethical guidelines for both the design of systems and how they should operate are included.","container-title":"Frontiers in Robotics and AI","ISSN":"2296-9144","source":"Frontiers","title":"A Review of Future and Ethical Perspectives of Robotics and AI","URL":"https://www.frontiersin.org/article/10.3389/frobt.2017.00075","volume":"4","author":[{"family":"Torresen","given":"Jim"}],"accessed":{"date-parts":[["2022",7,1]]},"issued":{"date-parts":[["2018"]]}}}],"schema":"https://github.com/citation-style-language/schema/raw/master/csl-citation.json"} </w:instrText>
            </w:r>
            <w:r>
              <w:rPr>
                <w:rFonts w:ascii="Calibri" w:eastAsia="Times New Roman" w:hAnsi="Calibri" w:cs="Calibri"/>
                <w:color w:val="000000"/>
              </w:rPr>
              <w:fldChar w:fldCharType="separate"/>
            </w:r>
            <w:r w:rsidRPr="00873D47">
              <w:rPr>
                <w:rFonts w:ascii="Calibri" w:hAnsi="Calibri" w:cs="Calibri"/>
              </w:rPr>
              <w:t>(Guiot, 2019; Torresen, 2018)</w:t>
            </w:r>
            <w:r>
              <w:rPr>
                <w:rFonts w:ascii="Calibri" w:eastAsia="Times New Roman" w:hAnsi="Calibri" w:cs="Calibri"/>
                <w:color w:val="000000"/>
              </w:rPr>
              <w:fldChar w:fldCharType="end"/>
            </w:r>
          </w:p>
        </w:tc>
      </w:tr>
      <w:tr w:rsidR="00CD5DB0" w:rsidRPr="00CD5DB0" w14:paraId="21A54461"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03D42F22" w14:textId="2F85BA56" w:rsidR="00CD5DB0" w:rsidRPr="00CD5DB0" w:rsidRDefault="00792AC8" w:rsidP="00CD5DB0">
            <w:pPr>
              <w:spacing w:after="0" w:line="240" w:lineRule="auto"/>
              <w:rPr>
                <w:rFonts w:ascii="Calibri" w:eastAsia="Times New Roman" w:hAnsi="Calibri" w:cs="Calibri"/>
                <w:color w:val="000000"/>
              </w:rPr>
            </w:pPr>
            <w:r>
              <w:rPr>
                <w:rFonts w:ascii="Calibri" w:eastAsia="Times New Roman" w:hAnsi="Calibri" w:cs="Calibri"/>
                <w:color w:val="000000"/>
              </w:rPr>
              <w:t>7</w:t>
            </w:r>
          </w:p>
        </w:tc>
        <w:tc>
          <w:tcPr>
            <w:tcW w:w="2144" w:type="dxa"/>
            <w:tcBorders>
              <w:top w:val="nil"/>
              <w:left w:val="nil"/>
              <w:bottom w:val="single" w:sz="4" w:space="0" w:color="auto"/>
              <w:right w:val="single" w:sz="4" w:space="0" w:color="auto"/>
            </w:tcBorders>
            <w:shd w:val="clear" w:color="auto" w:fill="auto"/>
            <w:noWrap/>
            <w:vAlign w:val="bottom"/>
            <w:hideMark/>
          </w:tcPr>
          <w:p w14:paraId="7E20CE57" w14:textId="03C2CF5F" w:rsidR="00CD5DB0" w:rsidRPr="00CD5DB0" w:rsidRDefault="00CD5DB0" w:rsidP="00CD5DB0">
            <w:pPr>
              <w:spacing w:after="0" w:line="240" w:lineRule="auto"/>
              <w:rPr>
                <w:rFonts w:ascii="Calibri" w:eastAsia="Times New Roman" w:hAnsi="Calibri" w:cs="Calibri"/>
                <w:color w:val="000000"/>
              </w:rPr>
            </w:pPr>
            <w:r>
              <w:rPr>
                <w:rFonts w:ascii="Calibri" w:eastAsia="Times New Roman" w:hAnsi="Calibri" w:cs="Calibri"/>
                <w:color w:val="000000"/>
              </w:rPr>
              <w:t>T</w:t>
            </w:r>
            <w:r w:rsidRPr="00CD5DB0">
              <w:rPr>
                <w:rFonts w:ascii="Calibri" w:eastAsia="Times New Roman" w:hAnsi="Calibri" w:cs="Calibri"/>
                <w:color w:val="000000"/>
              </w:rPr>
              <w:t xml:space="preserve">echnology </w:t>
            </w:r>
            <w:r>
              <w:rPr>
                <w:rFonts w:ascii="Calibri" w:eastAsia="Times New Roman" w:hAnsi="Calibri" w:cs="Calibri"/>
                <w:color w:val="000000"/>
              </w:rPr>
              <w:t>A</w:t>
            </w:r>
            <w:r w:rsidRPr="00CD5DB0">
              <w:rPr>
                <w:rFonts w:ascii="Calibri" w:eastAsia="Times New Roman" w:hAnsi="Calibri" w:cs="Calibri"/>
                <w:color w:val="000000"/>
              </w:rPr>
              <w:t xml:space="preserve">cceptance </w:t>
            </w:r>
            <w:r>
              <w:rPr>
                <w:rFonts w:ascii="Calibri" w:eastAsia="Times New Roman" w:hAnsi="Calibri" w:cs="Calibri"/>
                <w:color w:val="000000"/>
              </w:rPr>
              <w:t>M</w:t>
            </w:r>
            <w:r w:rsidRPr="00CD5DB0">
              <w:rPr>
                <w:rFonts w:ascii="Calibri" w:eastAsia="Times New Roman" w:hAnsi="Calibri" w:cs="Calibri"/>
                <w:color w:val="000000"/>
              </w:rPr>
              <w:t>odel</w:t>
            </w:r>
          </w:p>
        </w:tc>
        <w:tc>
          <w:tcPr>
            <w:tcW w:w="5550" w:type="dxa"/>
            <w:gridSpan w:val="2"/>
            <w:tcBorders>
              <w:top w:val="nil"/>
              <w:left w:val="nil"/>
              <w:bottom w:val="single" w:sz="4" w:space="0" w:color="auto"/>
              <w:right w:val="single" w:sz="4" w:space="0" w:color="auto"/>
            </w:tcBorders>
            <w:shd w:val="clear" w:color="auto" w:fill="auto"/>
            <w:noWrap/>
            <w:vAlign w:val="bottom"/>
            <w:hideMark/>
          </w:tcPr>
          <w:p w14:paraId="4F858560" w14:textId="639A15B9" w:rsidR="00CD5DB0" w:rsidRPr="00CD5DB0" w:rsidRDefault="00CD5DB0" w:rsidP="00CD5DB0">
            <w:pPr>
              <w:spacing w:after="0" w:line="240" w:lineRule="auto"/>
              <w:rPr>
                <w:rFonts w:ascii="Calibri" w:eastAsia="Times New Roman" w:hAnsi="Calibri" w:cs="Calibri"/>
                <w:color w:val="000000"/>
              </w:rPr>
            </w:pPr>
          </w:p>
          <w:p w14:paraId="7958003E" w14:textId="29404C79" w:rsidR="00CD5DB0" w:rsidRDefault="00CD5DB0" w:rsidP="00CD5DB0">
            <w:pPr>
              <w:spacing w:after="0" w:line="240" w:lineRule="auto"/>
              <w:rPr>
                <w:rFonts w:ascii="Calibri" w:eastAsia="Times New Roman" w:hAnsi="Calibri" w:cs="Calibri"/>
                <w:color w:val="000000"/>
              </w:rPr>
            </w:pPr>
            <w:r>
              <w:rPr>
                <w:rFonts w:ascii="Calibri" w:eastAsia="Times New Roman" w:hAnsi="Calibri" w:cs="Calibri"/>
                <w:color w:val="000000"/>
              </w:rPr>
              <w:t>Factors that influencing adoption and trust:</w:t>
            </w:r>
          </w:p>
          <w:p w14:paraId="22AA218B" w14:textId="77777777" w:rsid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Ease of Use</w:t>
            </w:r>
          </w:p>
          <w:p w14:paraId="41CF0588" w14:textId="122DC540" w:rsidR="00CD5DB0" w:rsidRP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Perceived Usefulness</w:t>
            </w:r>
          </w:p>
        </w:tc>
        <w:tc>
          <w:tcPr>
            <w:tcW w:w="1069" w:type="dxa"/>
            <w:tcBorders>
              <w:top w:val="nil"/>
              <w:left w:val="nil"/>
              <w:bottom w:val="single" w:sz="4" w:space="0" w:color="auto"/>
              <w:right w:val="single" w:sz="4" w:space="0" w:color="auto"/>
            </w:tcBorders>
            <w:shd w:val="clear" w:color="auto" w:fill="auto"/>
            <w:noWrap/>
            <w:vAlign w:val="bottom"/>
            <w:hideMark/>
          </w:tcPr>
          <w:p w14:paraId="3E1408E0" w14:textId="22C297E0" w:rsidR="00CD5DB0" w:rsidRPr="00CD5DB0" w:rsidRDefault="00CD5DB0" w:rsidP="00CD5DB0">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{"citationID":"ZTJq3CvT","properties":{"formattedCitation":"(Guiot, 2019)","plainCitation":"(Guiot, 2019)","noteIndex":0},"citationItems":[{"id":8,"uris":["http://zotero.org/users/9728326/items/3HC6ANSG"],"itemData":{"id":8,"type":"thesis","abstract":"Despite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Agents","author":[{"family":"Guiot","given":"Valeria"}],"issued":{"date-parts":[["2019"]]}}}],"schema":"https://github.com/citation-style-language/schema/raw/master/csl-citation.json"} </w:instrText>
            </w:r>
            <w:r>
              <w:rPr>
                <w:rFonts w:ascii="Calibri" w:eastAsia="Times New Roman" w:hAnsi="Calibri" w:cs="Calibri"/>
                <w:color w:val="000000"/>
              </w:rPr>
              <w:fldChar w:fldCharType="separate"/>
            </w:r>
            <w:r w:rsidRPr="00CD5DB0">
              <w:rPr>
                <w:rFonts w:ascii="Calibri" w:hAnsi="Calibri" w:cs="Calibri"/>
              </w:rPr>
              <w:t>(Guiot, 2019)</w:t>
            </w:r>
            <w:r>
              <w:rPr>
                <w:rFonts w:ascii="Calibri" w:eastAsia="Times New Roman" w:hAnsi="Calibri" w:cs="Calibri"/>
                <w:color w:val="000000"/>
              </w:rPr>
              <w:fldChar w:fldCharType="end"/>
            </w:r>
          </w:p>
        </w:tc>
      </w:tr>
      <w:tr w:rsidR="00CD5DB0" w:rsidRPr="00CD5DB0" w14:paraId="261B3A09"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5C3D1042" w14:textId="1E491EA7"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2DA597B5" w14:textId="06EA595D" w:rsidR="00CD5DB0" w:rsidRPr="00CD5DB0" w:rsidRDefault="00CD5DB0" w:rsidP="00CD5DB0">
            <w:pPr>
              <w:spacing w:after="0" w:line="240" w:lineRule="auto"/>
              <w:rPr>
                <w:rFonts w:ascii="Calibri" w:eastAsia="Times New Roman" w:hAnsi="Calibri" w:cs="Calibri"/>
                <w:color w:val="000000"/>
              </w:rPr>
            </w:pPr>
            <w:r>
              <w:rPr>
                <w:rFonts w:ascii="Calibri" w:eastAsia="Times New Roman" w:hAnsi="Calibri" w:cs="Calibri"/>
                <w:color w:val="000000"/>
              </w:rPr>
              <w:t>To increase trust</w:t>
            </w:r>
          </w:p>
        </w:tc>
        <w:tc>
          <w:tcPr>
            <w:tcW w:w="5550" w:type="dxa"/>
            <w:gridSpan w:val="2"/>
            <w:tcBorders>
              <w:top w:val="nil"/>
              <w:left w:val="nil"/>
              <w:bottom w:val="single" w:sz="4" w:space="0" w:color="auto"/>
              <w:right w:val="single" w:sz="4" w:space="0" w:color="auto"/>
            </w:tcBorders>
            <w:shd w:val="clear" w:color="auto" w:fill="auto"/>
            <w:noWrap/>
            <w:vAlign w:val="bottom"/>
            <w:hideMark/>
          </w:tcPr>
          <w:p w14:paraId="09401147" w14:textId="31EFB020" w:rsid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Functional (complete required task)</w:t>
            </w:r>
          </w:p>
          <w:p w14:paraId="571378A3" w14:textId="57F0F39A" w:rsid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Helpful (provide guidance, help)</w:t>
            </w:r>
          </w:p>
          <w:p w14:paraId="54DA9406" w14:textId="7CEC33EC" w:rsidR="00CD5DB0" w:rsidRPr="00CD5DB0" w:rsidRDefault="00CD5DB0" w:rsidP="00CD5DB0">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Reliable (consistent and predictable) system</w:t>
            </w:r>
          </w:p>
          <w:p w14:paraId="289839C4" w14:textId="77777777" w:rsidR="00CD5DB0" w:rsidRDefault="00CD5DB0" w:rsidP="00CD5DB0">
            <w:pPr>
              <w:spacing w:after="0" w:line="240" w:lineRule="auto"/>
              <w:rPr>
                <w:rFonts w:ascii="Calibri" w:eastAsia="Times New Roman" w:hAnsi="Calibri" w:cs="Calibri"/>
                <w:color w:val="000000"/>
              </w:rPr>
            </w:pPr>
          </w:p>
          <w:p w14:paraId="26C1CC8A" w14:textId="79E385FD" w:rsidR="00CD5DB0" w:rsidRPr="00CD5DB0" w:rsidRDefault="00CD5DB0" w:rsidP="00CD5DB0">
            <w:pPr>
              <w:spacing w:after="0" w:line="240" w:lineRule="auto"/>
              <w:rPr>
                <w:rFonts w:ascii="Calibri" w:eastAsia="Times New Roman" w:hAnsi="Calibri" w:cs="Calibri"/>
                <w:color w:val="000000"/>
              </w:rPr>
            </w:pPr>
          </w:p>
        </w:tc>
        <w:tc>
          <w:tcPr>
            <w:tcW w:w="1069" w:type="dxa"/>
            <w:tcBorders>
              <w:top w:val="nil"/>
              <w:left w:val="nil"/>
              <w:bottom w:val="single" w:sz="4" w:space="0" w:color="auto"/>
              <w:right w:val="single" w:sz="4" w:space="0" w:color="auto"/>
            </w:tcBorders>
            <w:shd w:val="clear" w:color="auto" w:fill="auto"/>
            <w:noWrap/>
            <w:vAlign w:val="bottom"/>
            <w:hideMark/>
          </w:tcPr>
          <w:p w14:paraId="73D0A372" w14:textId="4947E601" w:rsidR="00CD5DB0" w:rsidRPr="00CD5DB0" w:rsidRDefault="00A527C2" w:rsidP="00CD5DB0">
            <w:pPr>
              <w:spacing w:after="0" w:line="240" w:lineRule="auto"/>
              <w:rPr>
                <w:rFonts w:ascii="Calibri" w:eastAsia="Times New Roman" w:hAnsi="Calibri" w:cs="Calibri"/>
                <w:color w:val="000000"/>
              </w:rPr>
            </w:pPr>
            <w:r>
              <w:rPr>
                <w:rFonts w:ascii="Calibri" w:eastAsia="Times New Roman" w:hAnsi="Calibri" w:cs="Calibri"/>
                <w:color w:val="000000"/>
              </w:rPr>
              <w:fldChar w:fldCharType="begin"/>
            </w:r>
            <w:r>
              <w:rPr>
                <w:rFonts w:ascii="Calibri" w:eastAsia="Times New Roman" w:hAnsi="Calibri" w:cs="Calibri"/>
                <w:color w:val="000000"/>
              </w:rPr>
              <w:instrText xml:space="preserve"> ADDIN ZOTERO_ITEM CSL_CITATION {"citationID":"DPVNY7ux","properties":{"formattedCitation":"(Guiot, 2019, p. 120)","plainCitation":"(Guiot, 2019, p. 120)","noteIndex":0},"citationItems":[{"id":8,"uris":["http://zotero.org/users/9728326/items/3HC6ANSG"],"itemData":{"id":8,"type":"thesis","abstract":"Despite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Agents","author":[{"family":"Guiot","given":"Valeria"}],"issued":{"date-parts":[["2019"]]}},"locator":"120"}],"schema":"https://github.com/citation-style-language/schema/raw/master/csl-citation.json"} </w:instrText>
            </w:r>
            <w:r>
              <w:rPr>
                <w:rFonts w:ascii="Calibri" w:eastAsia="Times New Roman" w:hAnsi="Calibri" w:cs="Calibri"/>
                <w:color w:val="000000"/>
              </w:rPr>
              <w:fldChar w:fldCharType="separate"/>
            </w:r>
            <w:r w:rsidRPr="00A527C2">
              <w:rPr>
                <w:rFonts w:ascii="Calibri" w:hAnsi="Calibri" w:cs="Calibri"/>
              </w:rPr>
              <w:t>(Guiot, 2019, p. 120)</w:t>
            </w:r>
            <w:r>
              <w:rPr>
                <w:rFonts w:ascii="Calibri" w:eastAsia="Times New Roman" w:hAnsi="Calibri" w:cs="Calibri"/>
                <w:color w:val="000000"/>
              </w:rPr>
              <w:fldChar w:fldCharType="end"/>
            </w:r>
          </w:p>
        </w:tc>
      </w:tr>
      <w:tr w:rsidR="00CD5DB0" w:rsidRPr="00CD5DB0" w14:paraId="5BB8A0AF"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7D8E3B37" w14:textId="0280C537"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5482A5EA" w14:textId="4C740F11" w:rsidR="00CD5DB0" w:rsidRPr="00CD5DB0" w:rsidRDefault="00873D47" w:rsidP="00CD5DB0">
            <w:pPr>
              <w:spacing w:after="0" w:line="240" w:lineRule="auto"/>
              <w:rPr>
                <w:rFonts w:ascii="Calibri" w:eastAsia="Times New Roman" w:hAnsi="Calibri" w:cs="Calibri"/>
                <w:color w:val="000000"/>
              </w:rPr>
            </w:pPr>
            <w:r>
              <w:rPr>
                <w:rFonts w:ascii="Calibri" w:eastAsia="Times New Roman" w:hAnsi="Calibri" w:cs="Calibri"/>
                <w:color w:val="000000"/>
              </w:rPr>
              <w:t>Increased biases</w:t>
            </w:r>
          </w:p>
        </w:tc>
        <w:tc>
          <w:tcPr>
            <w:tcW w:w="2800" w:type="dxa"/>
            <w:tcBorders>
              <w:top w:val="nil"/>
              <w:left w:val="nil"/>
              <w:bottom w:val="single" w:sz="4" w:space="0" w:color="auto"/>
              <w:right w:val="single" w:sz="4" w:space="0" w:color="auto"/>
            </w:tcBorders>
            <w:shd w:val="clear" w:color="auto" w:fill="auto"/>
            <w:noWrap/>
            <w:vAlign w:val="bottom"/>
            <w:hideMark/>
          </w:tcPr>
          <w:p w14:paraId="3323E271" w14:textId="136A18E5" w:rsidR="00CD5DB0" w:rsidRPr="00CD5DB0" w:rsidRDefault="00CD5DB0" w:rsidP="00CD5DB0">
            <w:pPr>
              <w:spacing w:after="0" w:line="240" w:lineRule="auto"/>
              <w:rPr>
                <w:rFonts w:ascii="Calibri" w:eastAsia="Times New Roman" w:hAnsi="Calibri" w:cs="Calibri"/>
                <w:color w:val="000000"/>
              </w:rPr>
            </w:pPr>
          </w:p>
        </w:tc>
        <w:tc>
          <w:tcPr>
            <w:tcW w:w="2750" w:type="dxa"/>
            <w:tcBorders>
              <w:top w:val="nil"/>
              <w:left w:val="nil"/>
              <w:bottom w:val="single" w:sz="4" w:space="0" w:color="auto"/>
              <w:right w:val="single" w:sz="4" w:space="0" w:color="auto"/>
            </w:tcBorders>
            <w:shd w:val="clear" w:color="auto" w:fill="auto"/>
            <w:noWrap/>
            <w:vAlign w:val="bottom"/>
            <w:hideMark/>
          </w:tcPr>
          <w:p w14:paraId="64889059" w14:textId="77777777" w:rsidR="00CD5DB0" w:rsidRDefault="00873D47" w:rsidP="00873D47">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Gender: stereotypical attribution of personality traits</w:t>
            </w:r>
          </w:p>
          <w:p w14:paraId="02B2DA21" w14:textId="620ADFEB" w:rsidR="00873D47" w:rsidRPr="00873D47" w:rsidRDefault="00873D47" w:rsidP="00873D47">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t>Culture: use female AI voice assistants</w:t>
            </w:r>
          </w:p>
        </w:tc>
        <w:tc>
          <w:tcPr>
            <w:tcW w:w="1069" w:type="dxa"/>
            <w:tcBorders>
              <w:top w:val="nil"/>
              <w:left w:val="nil"/>
              <w:bottom w:val="single" w:sz="4" w:space="0" w:color="auto"/>
              <w:right w:val="single" w:sz="4" w:space="0" w:color="auto"/>
            </w:tcBorders>
            <w:shd w:val="clear" w:color="auto" w:fill="auto"/>
            <w:noWrap/>
            <w:vAlign w:val="bottom"/>
            <w:hideMark/>
          </w:tcPr>
          <w:p w14:paraId="2266C5A2" w14:textId="6F64C2F7" w:rsidR="00CD5DB0" w:rsidRPr="00CD5DB0" w:rsidRDefault="00CD5DB0" w:rsidP="00CD5DB0">
            <w:pPr>
              <w:spacing w:after="0" w:line="240" w:lineRule="auto"/>
              <w:rPr>
                <w:rFonts w:ascii="Calibri" w:eastAsia="Times New Roman" w:hAnsi="Calibri" w:cs="Calibri"/>
                <w:color w:val="000000"/>
              </w:rPr>
            </w:pPr>
          </w:p>
        </w:tc>
      </w:tr>
      <w:tr w:rsidR="00873D47" w:rsidRPr="00CD5DB0" w14:paraId="3D6FEB9E"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54F93955" w14:textId="756E9CE4" w:rsidR="00873D47" w:rsidRPr="00CD5DB0" w:rsidRDefault="00792AC8" w:rsidP="00CD5DB0">
            <w:pPr>
              <w:spacing w:after="0" w:line="240" w:lineRule="auto"/>
              <w:rPr>
                <w:rFonts w:ascii="Calibri" w:eastAsia="Times New Roman" w:hAnsi="Calibri" w:cs="Calibri"/>
                <w:color w:val="000000"/>
              </w:rPr>
            </w:pPr>
            <w:r>
              <w:rPr>
                <w:rFonts w:ascii="Calibri" w:eastAsia="Times New Roman" w:hAnsi="Calibri" w:cs="Calibri"/>
                <w:color w:val="000000"/>
              </w:rPr>
              <w:t>10</w:t>
            </w:r>
          </w:p>
        </w:tc>
        <w:tc>
          <w:tcPr>
            <w:tcW w:w="2144" w:type="dxa"/>
            <w:tcBorders>
              <w:top w:val="nil"/>
              <w:left w:val="nil"/>
              <w:bottom w:val="single" w:sz="4" w:space="0" w:color="auto"/>
              <w:right w:val="single" w:sz="4" w:space="0" w:color="auto"/>
            </w:tcBorders>
            <w:shd w:val="clear" w:color="auto" w:fill="auto"/>
            <w:noWrap/>
            <w:vAlign w:val="bottom"/>
            <w:hideMark/>
          </w:tcPr>
          <w:p w14:paraId="781950F6" w14:textId="4A05B7D6" w:rsidR="00873D47" w:rsidRPr="00CD5DB0" w:rsidRDefault="00873D47" w:rsidP="00CD5DB0">
            <w:pPr>
              <w:spacing w:after="0" w:line="240" w:lineRule="auto"/>
              <w:rPr>
                <w:rFonts w:ascii="Calibri" w:eastAsia="Times New Roman" w:hAnsi="Calibri" w:cs="Calibri"/>
                <w:color w:val="000000"/>
              </w:rPr>
            </w:pPr>
            <w:r>
              <w:rPr>
                <w:rFonts w:ascii="Calibri" w:eastAsia="Times New Roman" w:hAnsi="Calibri" w:cs="Calibri"/>
                <w:color w:val="000000"/>
              </w:rPr>
              <w:t>Ethical challenges</w:t>
            </w:r>
          </w:p>
        </w:tc>
        <w:tc>
          <w:tcPr>
            <w:tcW w:w="5550" w:type="dxa"/>
            <w:gridSpan w:val="2"/>
            <w:tcBorders>
              <w:top w:val="nil"/>
              <w:left w:val="nil"/>
              <w:bottom w:val="single" w:sz="4" w:space="0" w:color="auto"/>
              <w:right w:val="single" w:sz="4" w:space="0" w:color="auto"/>
            </w:tcBorders>
            <w:shd w:val="clear" w:color="auto" w:fill="auto"/>
            <w:noWrap/>
            <w:vAlign w:val="bottom"/>
            <w:hideMark/>
          </w:tcPr>
          <w:p w14:paraId="6B287860"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avoiding misuse and allowing for human inspection of the functionality of the algorithms and systems</w:t>
            </w:r>
          </w:p>
          <w:p w14:paraId="64EDAF04"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when moving toward advanced autonomous systems, the systems should themselves be able to do ethical decision making to reduce the risk of unwanted behavior</w:t>
            </w:r>
          </w:p>
          <w:p w14:paraId="3A637268"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Pr>
                <w:rFonts w:ascii="Calibri" w:eastAsia="Times New Roman" w:hAnsi="Calibri" w:cs="Calibri"/>
                <w:color w:val="000000"/>
              </w:rPr>
              <w:lastRenderedPageBreak/>
              <w:t>s</w:t>
            </w:r>
            <w:r w:rsidRPr="00873D47">
              <w:rPr>
                <w:rFonts w:ascii="Calibri" w:eastAsia="Times New Roman" w:hAnsi="Calibri" w:cs="Calibri"/>
                <w:color w:val="000000"/>
              </w:rPr>
              <w:t>ystems should have mechanisms that automatically limit behavior, and also inform operators about the conditions deemed to require human review</w:t>
            </w:r>
          </w:p>
          <w:p w14:paraId="5BD9BB24" w14:textId="77777777" w:rsidR="00873D47" w:rsidRDefault="00873D47" w:rsidP="00873D47">
            <w:pPr>
              <w:pStyle w:val="Listenabsatz"/>
              <w:numPr>
                <w:ilvl w:val="1"/>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morality based decision-making becomes a part of artificial intelligence systems</w:t>
            </w:r>
          </w:p>
          <w:p w14:paraId="531A5A4F" w14:textId="77777777" w:rsidR="00873D47" w:rsidRDefault="00873D47" w:rsidP="00873D47">
            <w:pPr>
              <w:spacing w:after="0" w:line="240" w:lineRule="auto"/>
              <w:rPr>
                <w:rFonts w:ascii="Calibri" w:eastAsia="Times New Roman" w:hAnsi="Calibri" w:cs="Calibri"/>
                <w:color w:val="000000"/>
              </w:rPr>
            </w:pPr>
            <w:r>
              <w:rPr>
                <w:rFonts w:ascii="Calibri" w:eastAsia="Times New Roman" w:hAnsi="Calibri" w:cs="Calibri"/>
                <w:color w:val="000000"/>
              </w:rPr>
              <w:t>Future risks:</w:t>
            </w:r>
          </w:p>
          <w:p w14:paraId="0F20C9F8"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People may become unemployed because of automation.</w:t>
            </w:r>
          </w:p>
          <w:p w14:paraId="57ABB113"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How much and in what way are we going to work with increased automation?</w:t>
            </w:r>
          </w:p>
          <w:p w14:paraId="6A269E67" w14:textId="77777777" w:rsidR="00873D47" w:rsidRDefault="00873D47" w:rsidP="00873D47">
            <w:pPr>
              <w:pStyle w:val="Listenabsatz"/>
              <w:numPr>
                <w:ilvl w:val="0"/>
                <w:numId w:val="1"/>
              </w:numPr>
              <w:spacing w:after="0" w:line="240" w:lineRule="auto"/>
              <w:rPr>
                <w:rFonts w:ascii="Calibri" w:eastAsia="Times New Roman" w:hAnsi="Calibri" w:cs="Calibri"/>
                <w:color w:val="000000"/>
              </w:rPr>
            </w:pPr>
            <w:r w:rsidRPr="00873D47">
              <w:rPr>
                <w:rFonts w:ascii="Calibri" w:eastAsia="Times New Roman" w:hAnsi="Calibri" w:cs="Calibri"/>
                <w:color w:val="000000"/>
              </w:rPr>
              <w:t>Losing human skills due to technological excellence.</w:t>
            </w:r>
          </w:p>
          <w:p w14:paraId="1C0043D5" w14:textId="77777777" w:rsidR="00D21127" w:rsidRDefault="00D21127" w:rsidP="00873D47">
            <w:pPr>
              <w:pStyle w:val="Listenabsatz"/>
              <w:numPr>
                <w:ilvl w:val="0"/>
                <w:numId w:val="1"/>
              </w:numPr>
              <w:spacing w:after="0" w:line="240" w:lineRule="auto"/>
              <w:rPr>
                <w:rFonts w:ascii="Calibri" w:eastAsia="Times New Roman" w:hAnsi="Calibri" w:cs="Calibri"/>
                <w:color w:val="000000"/>
              </w:rPr>
            </w:pPr>
            <w:r w:rsidRPr="00D21127">
              <w:rPr>
                <w:rFonts w:ascii="Calibri" w:eastAsia="Times New Roman" w:hAnsi="Calibri" w:cs="Calibri"/>
                <w:color w:val="000000"/>
              </w:rPr>
              <w:t>Artificial intelligence can be used for destructive and unwanted tasks.</w:t>
            </w:r>
          </w:p>
          <w:p w14:paraId="0639C6C2" w14:textId="77777777" w:rsidR="00D21127" w:rsidRDefault="00D21127" w:rsidP="00873D47">
            <w:pPr>
              <w:pStyle w:val="Listenabsatz"/>
              <w:numPr>
                <w:ilvl w:val="0"/>
                <w:numId w:val="1"/>
              </w:numPr>
              <w:spacing w:after="0" w:line="240" w:lineRule="auto"/>
              <w:rPr>
                <w:rFonts w:ascii="Calibri" w:eastAsia="Times New Roman" w:hAnsi="Calibri" w:cs="Calibri"/>
                <w:strike/>
                <w:color w:val="000000"/>
              </w:rPr>
            </w:pPr>
            <w:r w:rsidRPr="00D21127">
              <w:rPr>
                <w:rFonts w:ascii="Calibri" w:eastAsia="Times New Roman" w:hAnsi="Calibri" w:cs="Calibri"/>
                <w:strike/>
                <w:color w:val="000000"/>
              </w:rPr>
              <w:t>Successful AI can lead to the extinction of mankind?</w:t>
            </w:r>
          </w:p>
          <w:p w14:paraId="4245AF74" w14:textId="77777777" w:rsidR="00D21127" w:rsidRPr="00D21127" w:rsidRDefault="00D21127" w:rsidP="00D21127">
            <w:pPr>
              <w:spacing w:after="0" w:line="240" w:lineRule="auto"/>
              <w:rPr>
                <w:rFonts w:ascii="Calibri" w:eastAsia="Times New Roman" w:hAnsi="Calibri" w:cs="Calibri"/>
                <w:color w:val="000000"/>
              </w:rPr>
            </w:pPr>
          </w:p>
          <w:p w14:paraId="4E42FE06" w14:textId="627388F4" w:rsidR="00D21127" w:rsidRPr="00D21127" w:rsidRDefault="00D21127" w:rsidP="00D21127">
            <w:pPr>
              <w:spacing w:after="0" w:line="240" w:lineRule="auto"/>
              <w:rPr>
                <w:rFonts w:ascii="Calibri" w:eastAsia="Times New Roman" w:hAnsi="Calibri" w:cs="Calibri"/>
                <w:color w:val="000000"/>
              </w:rPr>
            </w:pPr>
            <w:r w:rsidRPr="00D21127">
              <w:rPr>
                <w:rFonts w:ascii="Calibri" w:eastAsia="Times New Roman" w:hAnsi="Calibri" w:cs="Calibri"/>
                <w:color w:val="000000"/>
              </w:rPr>
              <w:t>Today’s risks:</w:t>
            </w:r>
          </w:p>
          <w:p w14:paraId="66871554" w14:textId="77777777" w:rsidR="00D21127" w:rsidRPr="00D21127" w:rsidRDefault="00D21127" w:rsidP="00D21127">
            <w:pPr>
              <w:pStyle w:val="Listenabsatz"/>
              <w:numPr>
                <w:ilvl w:val="0"/>
                <w:numId w:val="1"/>
              </w:numPr>
              <w:spacing w:after="0" w:line="240" w:lineRule="auto"/>
              <w:rPr>
                <w:rFonts w:ascii="Calibri" w:eastAsia="Times New Roman" w:hAnsi="Calibri" w:cs="Calibri"/>
                <w:color w:val="000000"/>
              </w:rPr>
            </w:pPr>
            <w:r w:rsidRPr="00D21127">
              <w:rPr>
                <w:rFonts w:ascii="Calibri" w:eastAsia="Times New Roman" w:hAnsi="Calibri" w:cs="Calibri"/>
                <w:color w:val="000000"/>
              </w:rPr>
              <w:t>vulnerable to hacking</w:t>
            </w:r>
          </w:p>
          <w:p w14:paraId="29BF4596" w14:textId="77777777" w:rsidR="00D21127" w:rsidRPr="00D21127" w:rsidRDefault="00D21127" w:rsidP="00D21127">
            <w:pPr>
              <w:pStyle w:val="Listenabsatz"/>
              <w:numPr>
                <w:ilvl w:val="0"/>
                <w:numId w:val="1"/>
              </w:numPr>
              <w:spacing w:after="0" w:line="240" w:lineRule="auto"/>
              <w:rPr>
                <w:rFonts w:ascii="Calibri" w:eastAsia="Times New Roman" w:hAnsi="Calibri" w:cs="Calibri"/>
                <w:strike/>
                <w:color w:val="000000"/>
              </w:rPr>
            </w:pPr>
            <w:r w:rsidRPr="00D21127">
              <w:rPr>
                <w:rFonts w:ascii="Calibri" w:eastAsia="Times New Roman" w:hAnsi="Calibri" w:cs="Calibri"/>
                <w:color w:val="000000"/>
              </w:rPr>
              <w:t>misused for criminal activities such as burglary</w:t>
            </w:r>
          </w:p>
          <w:p w14:paraId="3195E3CE" w14:textId="77777777" w:rsidR="00D21127" w:rsidRDefault="00D21127" w:rsidP="00D21127">
            <w:pPr>
              <w:spacing w:after="0" w:line="240" w:lineRule="auto"/>
              <w:rPr>
                <w:rFonts w:ascii="Calibri" w:eastAsia="Times New Roman" w:hAnsi="Calibri" w:cs="Calibri"/>
                <w:strike/>
                <w:color w:val="000000"/>
              </w:rPr>
            </w:pPr>
          </w:p>
          <w:p w14:paraId="147BBD32" w14:textId="77777777" w:rsidR="00D21127" w:rsidRPr="00D21127" w:rsidRDefault="00D21127" w:rsidP="00D21127">
            <w:pPr>
              <w:spacing w:after="0" w:line="240" w:lineRule="auto"/>
              <w:rPr>
                <w:rFonts w:ascii="Calibri" w:eastAsia="Times New Roman" w:hAnsi="Calibri" w:cs="Calibri"/>
                <w:color w:val="000000"/>
              </w:rPr>
            </w:pPr>
            <w:r w:rsidRPr="00D21127">
              <w:rPr>
                <w:rFonts w:ascii="Calibri" w:eastAsia="Times New Roman" w:hAnsi="Calibri" w:cs="Calibri"/>
                <w:color w:val="000000"/>
              </w:rPr>
              <w:t xml:space="preserve">guidelines like: </w:t>
            </w:r>
          </w:p>
          <w:p w14:paraId="2B02BB2B" w14:textId="77777777" w:rsidR="00D21127" w:rsidRPr="00D21127" w:rsidRDefault="00D21127" w:rsidP="00D21127">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Safety. There must be mechanisms (or opportunities for an operator) to control and limit a robot’s autonomy.</w:t>
            </w:r>
            <w:r w:rsidRPr="00D21127">
              <w:rPr>
                <w:rFonts w:ascii="Calibri" w:eastAsia="Times New Roman" w:hAnsi="Calibri" w:cs="Calibri"/>
                <w:color w:val="000000"/>
              </w:rPr>
              <w:tab/>
              <w:t xml:space="preserve"> Security. There must be a password or other keys to avoid inappropriate and illegal use of a robot. </w:t>
            </w:r>
          </w:p>
          <w:p w14:paraId="5D2DBA24" w14:textId="77777777" w:rsidR="00D21127" w:rsidRPr="00D21127" w:rsidRDefault="00D21127" w:rsidP="00D21127">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 xml:space="preserve">Traceability. As with aircraft, robots should have a “black box” to record and document their own behavior (Winfield and </w:t>
            </w:r>
            <w:proofErr w:type="spellStart"/>
            <w:r w:rsidRPr="00D21127">
              <w:rPr>
                <w:rFonts w:ascii="Calibri" w:eastAsia="Times New Roman" w:hAnsi="Calibri" w:cs="Calibri"/>
                <w:color w:val="000000"/>
              </w:rPr>
              <w:t>Jirotka</w:t>
            </w:r>
            <w:proofErr w:type="spellEnd"/>
            <w:r w:rsidRPr="00D21127">
              <w:rPr>
                <w:rFonts w:ascii="Calibri" w:eastAsia="Times New Roman" w:hAnsi="Calibri" w:cs="Calibri"/>
                <w:color w:val="000000"/>
              </w:rPr>
              <w:t xml:space="preserve">, 2017). </w:t>
            </w:r>
          </w:p>
          <w:p w14:paraId="7FE183FA" w14:textId="77777777" w:rsidR="00D21127" w:rsidRPr="00D21127" w:rsidRDefault="00D21127" w:rsidP="00D21127">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 xml:space="preserve">Identifiability. Robots should have serial numbers and registration number similar to cars. </w:t>
            </w:r>
          </w:p>
          <w:p w14:paraId="0C20CCB1" w14:textId="5E1FAA9F" w:rsidR="00D21127" w:rsidRPr="00D21127" w:rsidRDefault="00D21127" w:rsidP="00D21127">
            <w:pPr>
              <w:pStyle w:val="Listenabsatz"/>
              <w:numPr>
                <w:ilvl w:val="0"/>
                <w:numId w:val="2"/>
              </w:numPr>
              <w:spacing w:after="0" w:line="240" w:lineRule="auto"/>
              <w:rPr>
                <w:rFonts w:ascii="Calibri" w:eastAsia="Times New Roman" w:hAnsi="Calibri" w:cs="Calibri"/>
                <w:color w:val="000000"/>
              </w:rPr>
            </w:pPr>
            <w:r w:rsidRPr="00D21127">
              <w:rPr>
                <w:rFonts w:ascii="Calibri" w:eastAsia="Times New Roman" w:hAnsi="Calibri" w:cs="Calibri"/>
                <w:color w:val="000000"/>
              </w:rPr>
              <w:t>Privacy policy. Software and hardware should be used to encrypt and password protect sensitive data that the robot needs to save.</w:t>
            </w:r>
          </w:p>
        </w:tc>
        <w:tc>
          <w:tcPr>
            <w:tcW w:w="1069" w:type="dxa"/>
            <w:tcBorders>
              <w:top w:val="nil"/>
              <w:left w:val="nil"/>
              <w:bottom w:val="single" w:sz="4" w:space="0" w:color="auto"/>
              <w:right w:val="single" w:sz="4" w:space="0" w:color="auto"/>
            </w:tcBorders>
            <w:shd w:val="clear" w:color="auto" w:fill="auto"/>
            <w:noWrap/>
            <w:vAlign w:val="bottom"/>
            <w:hideMark/>
          </w:tcPr>
          <w:p w14:paraId="61596476" w14:textId="568B6425" w:rsidR="00873D47" w:rsidRPr="00CD5DB0" w:rsidRDefault="00D21127" w:rsidP="00CD5DB0">
            <w:pPr>
              <w:spacing w:after="0" w:line="240" w:lineRule="auto"/>
              <w:rPr>
                <w:rFonts w:ascii="Calibri" w:eastAsia="Times New Roman" w:hAnsi="Calibri" w:cs="Calibri"/>
                <w:color w:val="000000"/>
              </w:rPr>
            </w:pPr>
            <w:r>
              <w:rPr>
                <w:rFonts w:ascii="Calibri" w:eastAsia="Times New Roman" w:hAnsi="Calibri" w:cs="Calibri"/>
                <w:color w:val="000000"/>
              </w:rPr>
              <w:lastRenderedPageBreak/>
              <w:fldChar w:fldCharType="begin"/>
            </w:r>
            <w:r>
              <w:rPr>
                <w:rFonts w:ascii="Calibri" w:eastAsia="Times New Roman" w:hAnsi="Calibri" w:cs="Calibri"/>
                <w:color w:val="000000"/>
              </w:rPr>
              <w:instrText xml:space="preserve"> ADDIN ZOTERO_ITEM CSL_CITATION {"citationID":"9DkqELkc","properties":{"formattedCitation":"(Torresen, 2018)","plainCitation":"(Torresen, 2018)","noteIndex":0},"citationItems":[{"id":12,"uris":["http://zotero.org/users/9728326/items/3AUHPT2H"],"itemData":{"id":12,"type":"article-journal","abstract":"In recent years, there has been increased attention on the possible impact of future robotics and AI systems. Prominent thinkers have publicly warned about the risk of a dystopian future when the complexity of these systems progresses further. These warnings stand in contrast to the current state-of-the-art of the robotics and AI technology. This article reviews work considering both the future potential of robotics and AI systems, and ethical considerations that need to be taken in order to avoid a dystopian future. References to recent initiatives to outline ethical guidelines for both the design of systems and how they should operate are included.","container-title":"Frontiers in Robotics and AI","ISSN":"2296-9144","source":"Frontiers","title":"A Review of Future and Ethical Perspectives of Robotics and AI","URL":"https://www.frontiersin.org/article/10.3389/frobt.2017.00075","volume":"4","author":[{"family":"Torresen","given":"Jim"}],"accessed":{"date-parts":[["2022",7,1]]},"issued":{"date-parts":[["2018"]]}}}],"schema":"https://github.com/citation-style-language/schema/raw/master/csl-citation.json"} </w:instrText>
            </w:r>
            <w:r>
              <w:rPr>
                <w:rFonts w:ascii="Calibri" w:eastAsia="Times New Roman" w:hAnsi="Calibri" w:cs="Calibri"/>
                <w:color w:val="000000"/>
              </w:rPr>
              <w:fldChar w:fldCharType="separate"/>
            </w:r>
            <w:r w:rsidRPr="00D21127">
              <w:rPr>
                <w:rFonts w:ascii="Calibri" w:hAnsi="Calibri" w:cs="Calibri"/>
              </w:rPr>
              <w:t>(Torresen, 2018)</w:t>
            </w:r>
            <w:r>
              <w:rPr>
                <w:rFonts w:ascii="Calibri" w:eastAsia="Times New Roman" w:hAnsi="Calibri" w:cs="Calibri"/>
                <w:color w:val="000000"/>
              </w:rPr>
              <w:fldChar w:fldCharType="end"/>
            </w:r>
          </w:p>
        </w:tc>
      </w:tr>
      <w:tr w:rsidR="00CD5DB0" w:rsidRPr="00CD5DB0" w14:paraId="223D04A9"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09AEE3B2" w14:textId="2DE33EE1"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1561C83B" w14:textId="01F00EF7" w:rsidR="00CD5DB0" w:rsidRPr="00CD5DB0" w:rsidRDefault="00CD5DB0" w:rsidP="00CD5DB0">
            <w:pPr>
              <w:spacing w:after="0" w:line="240" w:lineRule="auto"/>
              <w:rPr>
                <w:rFonts w:ascii="Calibri" w:eastAsia="Times New Roman" w:hAnsi="Calibri" w:cs="Calibri"/>
                <w:color w:val="000000"/>
              </w:rPr>
            </w:pPr>
          </w:p>
        </w:tc>
        <w:tc>
          <w:tcPr>
            <w:tcW w:w="2800" w:type="dxa"/>
            <w:tcBorders>
              <w:top w:val="nil"/>
              <w:left w:val="nil"/>
              <w:bottom w:val="single" w:sz="4" w:space="0" w:color="auto"/>
              <w:right w:val="single" w:sz="4" w:space="0" w:color="auto"/>
            </w:tcBorders>
            <w:shd w:val="clear" w:color="auto" w:fill="auto"/>
            <w:noWrap/>
            <w:vAlign w:val="bottom"/>
            <w:hideMark/>
          </w:tcPr>
          <w:p w14:paraId="634B4B7C" w14:textId="717AC94F" w:rsidR="00CD5DB0" w:rsidRPr="00CD5DB0" w:rsidRDefault="00CD5DB0" w:rsidP="00CD5DB0">
            <w:pPr>
              <w:spacing w:after="0" w:line="240" w:lineRule="auto"/>
              <w:rPr>
                <w:rFonts w:ascii="Calibri" w:eastAsia="Times New Roman" w:hAnsi="Calibri" w:cs="Calibri"/>
                <w:color w:val="000000"/>
              </w:rPr>
            </w:pPr>
          </w:p>
        </w:tc>
        <w:tc>
          <w:tcPr>
            <w:tcW w:w="2750" w:type="dxa"/>
            <w:tcBorders>
              <w:top w:val="nil"/>
              <w:left w:val="nil"/>
              <w:bottom w:val="single" w:sz="4" w:space="0" w:color="auto"/>
              <w:right w:val="single" w:sz="4" w:space="0" w:color="auto"/>
            </w:tcBorders>
            <w:shd w:val="clear" w:color="auto" w:fill="auto"/>
            <w:noWrap/>
            <w:vAlign w:val="bottom"/>
            <w:hideMark/>
          </w:tcPr>
          <w:p w14:paraId="5A9BBBE5" w14:textId="0E89C2A8" w:rsidR="00CD5DB0" w:rsidRPr="00CD5DB0" w:rsidRDefault="00CD5DB0" w:rsidP="00CD5DB0">
            <w:pPr>
              <w:spacing w:after="0" w:line="240" w:lineRule="auto"/>
              <w:rPr>
                <w:rFonts w:ascii="Calibri" w:eastAsia="Times New Roman" w:hAnsi="Calibri" w:cs="Calibri"/>
                <w:color w:val="000000"/>
              </w:rPr>
            </w:pPr>
          </w:p>
        </w:tc>
        <w:tc>
          <w:tcPr>
            <w:tcW w:w="1069" w:type="dxa"/>
            <w:tcBorders>
              <w:top w:val="nil"/>
              <w:left w:val="nil"/>
              <w:bottom w:val="single" w:sz="4" w:space="0" w:color="auto"/>
              <w:right w:val="single" w:sz="4" w:space="0" w:color="auto"/>
            </w:tcBorders>
            <w:shd w:val="clear" w:color="auto" w:fill="auto"/>
            <w:noWrap/>
            <w:vAlign w:val="bottom"/>
            <w:hideMark/>
          </w:tcPr>
          <w:p w14:paraId="238436F4" w14:textId="55FD6140" w:rsidR="00CD5DB0" w:rsidRPr="00CD5DB0" w:rsidRDefault="00CD5DB0" w:rsidP="00CD5DB0">
            <w:pPr>
              <w:spacing w:after="0" w:line="240" w:lineRule="auto"/>
              <w:rPr>
                <w:rFonts w:ascii="Calibri" w:eastAsia="Times New Roman" w:hAnsi="Calibri" w:cs="Calibri"/>
                <w:color w:val="000000"/>
              </w:rPr>
            </w:pPr>
          </w:p>
        </w:tc>
      </w:tr>
      <w:tr w:rsidR="00CD5DB0" w:rsidRPr="00CD5DB0" w14:paraId="01718462"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19E88EF4" w14:textId="7488B342"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09C0EC07" w14:textId="3B51D11B" w:rsidR="00CD5DB0" w:rsidRPr="00CD5DB0" w:rsidRDefault="00CD5DB0" w:rsidP="00CD5DB0">
            <w:pPr>
              <w:spacing w:after="0" w:line="240" w:lineRule="auto"/>
              <w:rPr>
                <w:rFonts w:ascii="Calibri" w:eastAsia="Times New Roman" w:hAnsi="Calibri" w:cs="Calibri"/>
                <w:color w:val="000000"/>
              </w:rPr>
            </w:pPr>
          </w:p>
        </w:tc>
        <w:tc>
          <w:tcPr>
            <w:tcW w:w="2800" w:type="dxa"/>
            <w:tcBorders>
              <w:top w:val="nil"/>
              <w:left w:val="nil"/>
              <w:bottom w:val="single" w:sz="4" w:space="0" w:color="auto"/>
              <w:right w:val="single" w:sz="4" w:space="0" w:color="auto"/>
            </w:tcBorders>
            <w:shd w:val="clear" w:color="auto" w:fill="auto"/>
            <w:noWrap/>
            <w:vAlign w:val="bottom"/>
            <w:hideMark/>
          </w:tcPr>
          <w:p w14:paraId="492B83A9" w14:textId="4CCFC276" w:rsidR="00CD5DB0" w:rsidRPr="00CD5DB0" w:rsidRDefault="00CD5DB0" w:rsidP="00CD5DB0">
            <w:pPr>
              <w:spacing w:after="0" w:line="240" w:lineRule="auto"/>
              <w:rPr>
                <w:rFonts w:ascii="Calibri" w:eastAsia="Times New Roman" w:hAnsi="Calibri" w:cs="Calibri"/>
                <w:color w:val="000000"/>
              </w:rPr>
            </w:pPr>
          </w:p>
        </w:tc>
        <w:tc>
          <w:tcPr>
            <w:tcW w:w="2750" w:type="dxa"/>
            <w:tcBorders>
              <w:top w:val="nil"/>
              <w:left w:val="nil"/>
              <w:bottom w:val="single" w:sz="4" w:space="0" w:color="auto"/>
              <w:right w:val="single" w:sz="4" w:space="0" w:color="auto"/>
            </w:tcBorders>
            <w:shd w:val="clear" w:color="auto" w:fill="auto"/>
            <w:noWrap/>
            <w:vAlign w:val="bottom"/>
            <w:hideMark/>
          </w:tcPr>
          <w:p w14:paraId="2566D04D" w14:textId="596417E9" w:rsidR="00CD5DB0" w:rsidRPr="00CD5DB0" w:rsidRDefault="00CD5DB0" w:rsidP="00CD5DB0">
            <w:pPr>
              <w:spacing w:after="0" w:line="240" w:lineRule="auto"/>
              <w:rPr>
                <w:rFonts w:ascii="Calibri" w:eastAsia="Times New Roman" w:hAnsi="Calibri" w:cs="Calibri"/>
                <w:color w:val="000000"/>
              </w:rPr>
            </w:pPr>
          </w:p>
        </w:tc>
        <w:tc>
          <w:tcPr>
            <w:tcW w:w="1069" w:type="dxa"/>
            <w:tcBorders>
              <w:top w:val="nil"/>
              <w:left w:val="nil"/>
              <w:bottom w:val="single" w:sz="4" w:space="0" w:color="auto"/>
              <w:right w:val="single" w:sz="4" w:space="0" w:color="auto"/>
            </w:tcBorders>
            <w:shd w:val="clear" w:color="auto" w:fill="auto"/>
            <w:noWrap/>
            <w:vAlign w:val="bottom"/>
            <w:hideMark/>
          </w:tcPr>
          <w:p w14:paraId="7451CEA5" w14:textId="6FF626D3" w:rsidR="00CD5DB0" w:rsidRPr="00CD5DB0" w:rsidRDefault="00CD5DB0" w:rsidP="00CD5DB0">
            <w:pPr>
              <w:spacing w:after="0" w:line="240" w:lineRule="auto"/>
              <w:rPr>
                <w:rFonts w:ascii="Calibri" w:eastAsia="Times New Roman" w:hAnsi="Calibri" w:cs="Calibri"/>
                <w:color w:val="000000"/>
              </w:rPr>
            </w:pPr>
          </w:p>
        </w:tc>
      </w:tr>
      <w:tr w:rsidR="00CD5DB0" w:rsidRPr="00CD5DB0" w14:paraId="73856268"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7AF06190" w14:textId="513C5D0B"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72DBD9D5" w14:textId="13CA5A85" w:rsidR="00CD5DB0" w:rsidRPr="00CD5DB0" w:rsidRDefault="00CD5DB0" w:rsidP="00CD5DB0">
            <w:pPr>
              <w:spacing w:after="0" w:line="240" w:lineRule="auto"/>
              <w:rPr>
                <w:rFonts w:ascii="Calibri" w:eastAsia="Times New Roman" w:hAnsi="Calibri" w:cs="Calibri"/>
                <w:color w:val="000000"/>
              </w:rPr>
            </w:pPr>
          </w:p>
        </w:tc>
        <w:tc>
          <w:tcPr>
            <w:tcW w:w="2800" w:type="dxa"/>
            <w:tcBorders>
              <w:top w:val="nil"/>
              <w:left w:val="nil"/>
              <w:bottom w:val="single" w:sz="4" w:space="0" w:color="auto"/>
              <w:right w:val="single" w:sz="4" w:space="0" w:color="auto"/>
            </w:tcBorders>
            <w:shd w:val="clear" w:color="auto" w:fill="auto"/>
            <w:noWrap/>
            <w:vAlign w:val="bottom"/>
            <w:hideMark/>
          </w:tcPr>
          <w:p w14:paraId="7740A3CE" w14:textId="54FF6CE4" w:rsidR="00CD5DB0" w:rsidRPr="00CD5DB0" w:rsidRDefault="00CD5DB0" w:rsidP="00CD5DB0">
            <w:pPr>
              <w:spacing w:after="0" w:line="240" w:lineRule="auto"/>
              <w:rPr>
                <w:rFonts w:ascii="Calibri" w:eastAsia="Times New Roman" w:hAnsi="Calibri" w:cs="Calibri"/>
                <w:color w:val="000000"/>
              </w:rPr>
            </w:pPr>
          </w:p>
        </w:tc>
        <w:tc>
          <w:tcPr>
            <w:tcW w:w="2750" w:type="dxa"/>
            <w:tcBorders>
              <w:top w:val="nil"/>
              <w:left w:val="nil"/>
              <w:bottom w:val="single" w:sz="4" w:space="0" w:color="auto"/>
              <w:right w:val="single" w:sz="4" w:space="0" w:color="auto"/>
            </w:tcBorders>
            <w:shd w:val="clear" w:color="auto" w:fill="auto"/>
            <w:noWrap/>
            <w:vAlign w:val="bottom"/>
            <w:hideMark/>
          </w:tcPr>
          <w:p w14:paraId="05D9178A" w14:textId="66015917" w:rsidR="00CD5DB0" w:rsidRPr="00CD5DB0" w:rsidRDefault="00CD5DB0" w:rsidP="00CD5DB0">
            <w:pPr>
              <w:spacing w:after="0" w:line="240" w:lineRule="auto"/>
              <w:rPr>
                <w:rFonts w:ascii="Calibri" w:eastAsia="Times New Roman" w:hAnsi="Calibri" w:cs="Calibri"/>
                <w:color w:val="000000"/>
              </w:rPr>
            </w:pPr>
          </w:p>
        </w:tc>
        <w:tc>
          <w:tcPr>
            <w:tcW w:w="1069" w:type="dxa"/>
            <w:tcBorders>
              <w:top w:val="nil"/>
              <w:left w:val="nil"/>
              <w:bottom w:val="single" w:sz="4" w:space="0" w:color="auto"/>
              <w:right w:val="single" w:sz="4" w:space="0" w:color="auto"/>
            </w:tcBorders>
            <w:shd w:val="clear" w:color="auto" w:fill="auto"/>
            <w:noWrap/>
            <w:vAlign w:val="bottom"/>
            <w:hideMark/>
          </w:tcPr>
          <w:p w14:paraId="7468CCCA" w14:textId="5CC3C7A2" w:rsidR="00CD5DB0" w:rsidRPr="00CD5DB0" w:rsidRDefault="00CD5DB0" w:rsidP="00CD5DB0">
            <w:pPr>
              <w:spacing w:after="0" w:line="240" w:lineRule="auto"/>
              <w:rPr>
                <w:rFonts w:ascii="Calibri" w:eastAsia="Times New Roman" w:hAnsi="Calibri" w:cs="Calibri"/>
                <w:color w:val="000000"/>
              </w:rPr>
            </w:pPr>
          </w:p>
        </w:tc>
      </w:tr>
      <w:tr w:rsidR="00CD5DB0" w:rsidRPr="00CD5DB0" w14:paraId="4BEFE28E"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5F1D27E4" w14:textId="5DCE6A7E"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7C903642" w14:textId="52D8390A" w:rsidR="00CD5DB0" w:rsidRPr="00CD5DB0" w:rsidRDefault="00CD5DB0" w:rsidP="00CD5DB0">
            <w:pPr>
              <w:spacing w:after="0" w:line="240" w:lineRule="auto"/>
              <w:rPr>
                <w:rFonts w:ascii="Calibri" w:eastAsia="Times New Roman" w:hAnsi="Calibri" w:cs="Calibri"/>
                <w:color w:val="000000"/>
              </w:rPr>
            </w:pPr>
          </w:p>
        </w:tc>
        <w:tc>
          <w:tcPr>
            <w:tcW w:w="2800" w:type="dxa"/>
            <w:tcBorders>
              <w:top w:val="nil"/>
              <w:left w:val="nil"/>
              <w:bottom w:val="single" w:sz="4" w:space="0" w:color="auto"/>
              <w:right w:val="single" w:sz="4" w:space="0" w:color="auto"/>
            </w:tcBorders>
            <w:shd w:val="clear" w:color="auto" w:fill="auto"/>
            <w:noWrap/>
            <w:vAlign w:val="bottom"/>
            <w:hideMark/>
          </w:tcPr>
          <w:p w14:paraId="437E796A" w14:textId="4C112998" w:rsidR="00CD5DB0" w:rsidRPr="00CD5DB0" w:rsidRDefault="00CD5DB0" w:rsidP="00CD5DB0">
            <w:pPr>
              <w:spacing w:after="0" w:line="240" w:lineRule="auto"/>
              <w:rPr>
                <w:rFonts w:ascii="Calibri" w:eastAsia="Times New Roman" w:hAnsi="Calibri" w:cs="Calibri"/>
                <w:color w:val="000000"/>
              </w:rPr>
            </w:pPr>
          </w:p>
        </w:tc>
        <w:tc>
          <w:tcPr>
            <w:tcW w:w="2750" w:type="dxa"/>
            <w:tcBorders>
              <w:top w:val="nil"/>
              <w:left w:val="nil"/>
              <w:bottom w:val="single" w:sz="4" w:space="0" w:color="auto"/>
              <w:right w:val="single" w:sz="4" w:space="0" w:color="auto"/>
            </w:tcBorders>
            <w:shd w:val="clear" w:color="auto" w:fill="auto"/>
            <w:noWrap/>
            <w:vAlign w:val="bottom"/>
            <w:hideMark/>
          </w:tcPr>
          <w:p w14:paraId="66049FA9" w14:textId="49759AD0" w:rsidR="00CD5DB0" w:rsidRPr="00CD5DB0" w:rsidRDefault="00CD5DB0" w:rsidP="00CD5DB0">
            <w:pPr>
              <w:spacing w:after="0" w:line="240" w:lineRule="auto"/>
              <w:rPr>
                <w:rFonts w:ascii="Calibri" w:eastAsia="Times New Roman" w:hAnsi="Calibri" w:cs="Calibri"/>
                <w:color w:val="000000"/>
              </w:rPr>
            </w:pPr>
          </w:p>
        </w:tc>
        <w:tc>
          <w:tcPr>
            <w:tcW w:w="1069" w:type="dxa"/>
            <w:tcBorders>
              <w:top w:val="nil"/>
              <w:left w:val="nil"/>
              <w:bottom w:val="single" w:sz="4" w:space="0" w:color="auto"/>
              <w:right w:val="single" w:sz="4" w:space="0" w:color="auto"/>
            </w:tcBorders>
            <w:shd w:val="clear" w:color="auto" w:fill="auto"/>
            <w:noWrap/>
            <w:vAlign w:val="bottom"/>
            <w:hideMark/>
          </w:tcPr>
          <w:p w14:paraId="5A6E1386" w14:textId="3FC0FB4C" w:rsidR="00CD5DB0" w:rsidRPr="00CD5DB0" w:rsidRDefault="00CD5DB0" w:rsidP="00CD5DB0">
            <w:pPr>
              <w:spacing w:after="0" w:line="240" w:lineRule="auto"/>
              <w:rPr>
                <w:rFonts w:ascii="Calibri" w:eastAsia="Times New Roman" w:hAnsi="Calibri" w:cs="Calibri"/>
                <w:color w:val="000000"/>
              </w:rPr>
            </w:pPr>
          </w:p>
        </w:tc>
      </w:tr>
      <w:tr w:rsidR="00CD5DB0" w:rsidRPr="00CD5DB0" w14:paraId="05EE8D1D"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4CD34A7C" w14:textId="6975755D" w:rsidR="00CD5DB0" w:rsidRPr="00CD5DB0" w:rsidRDefault="00CD5DB0" w:rsidP="00CD5DB0">
            <w:pPr>
              <w:spacing w:after="0" w:line="240" w:lineRule="auto"/>
              <w:rPr>
                <w:rFonts w:ascii="Calibri" w:eastAsia="Times New Roman" w:hAnsi="Calibri" w:cs="Calibri"/>
                <w:color w:val="000000"/>
              </w:rPr>
            </w:pPr>
          </w:p>
        </w:tc>
        <w:tc>
          <w:tcPr>
            <w:tcW w:w="2144" w:type="dxa"/>
            <w:tcBorders>
              <w:top w:val="nil"/>
              <w:left w:val="nil"/>
              <w:bottom w:val="single" w:sz="4" w:space="0" w:color="auto"/>
              <w:right w:val="single" w:sz="4" w:space="0" w:color="auto"/>
            </w:tcBorders>
            <w:shd w:val="clear" w:color="auto" w:fill="auto"/>
            <w:noWrap/>
            <w:vAlign w:val="bottom"/>
            <w:hideMark/>
          </w:tcPr>
          <w:p w14:paraId="60DD5C46" w14:textId="5A245A0F" w:rsidR="00CD5DB0" w:rsidRPr="00CD5DB0" w:rsidRDefault="00CD5DB0" w:rsidP="00CD5DB0">
            <w:pPr>
              <w:spacing w:after="0" w:line="240" w:lineRule="auto"/>
              <w:rPr>
                <w:rFonts w:ascii="Calibri" w:eastAsia="Times New Roman" w:hAnsi="Calibri" w:cs="Calibri"/>
                <w:color w:val="000000"/>
              </w:rPr>
            </w:pPr>
          </w:p>
        </w:tc>
        <w:tc>
          <w:tcPr>
            <w:tcW w:w="2800" w:type="dxa"/>
            <w:tcBorders>
              <w:top w:val="nil"/>
              <w:left w:val="nil"/>
              <w:bottom w:val="single" w:sz="4" w:space="0" w:color="auto"/>
              <w:right w:val="single" w:sz="4" w:space="0" w:color="auto"/>
            </w:tcBorders>
            <w:shd w:val="clear" w:color="auto" w:fill="auto"/>
            <w:noWrap/>
            <w:vAlign w:val="bottom"/>
            <w:hideMark/>
          </w:tcPr>
          <w:p w14:paraId="2729D27B" w14:textId="3F9FD328" w:rsidR="00CD5DB0" w:rsidRPr="00CD5DB0" w:rsidRDefault="00CD5DB0" w:rsidP="00CD5DB0">
            <w:pPr>
              <w:spacing w:after="0" w:line="240" w:lineRule="auto"/>
              <w:rPr>
                <w:rFonts w:ascii="Calibri" w:eastAsia="Times New Roman" w:hAnsi="Calibri" w:cs="Calibri"/>
                <w:color w:val="000000"/>
              </w:rPr>
            </w:pPr>
          </w:p>
        </w:tc>
        <w:tc>
          <w:tcPr>
            <w:tcW w:w="2750" w:type="dxa"/>
            <w:tcBorders>
              <w:top w:val="nil"/>
              <w:left w:val="nil"/>
              <w:bottom w:val="single" w:sz="4" w:space="0" w:color="auto"/>
              <w:right w:val="single" w:sz="4" w:space="0" w:color="auto"/>
            </w:tcBorders>
            <w:shd w:val="clear" w:color="auto" w:fill="auto"/>
            <w:noWrap/>
            <w:vAlign w:val="bottom"/>
            <w:hideMark/>
          </w:tcPr>
          <w:p w14:paraId="0A7C857D" w14:textId="717479F9" w:rsidR="00CD5DB0" w:rsidRPr="00CD5DB0" w:rsidRDefault="00CD5DB0" w:rsidP="00CD5DB0">
            <w:pPr>
              <w:spacing w:after="0" w:line="240" w:lineRule="auto"/>
              <w:rPr>
                <w:rFonts w:ascii="Calibri" w:eastAsia="Times New Roman" w:hAnsi="Calibri" w:cs="Calibri"/>
                <w:color w:val="000000"/>
              </w:rPr>
            </w:pPr>
          </w:p>
        </w:tc>
        <w:tc>
          <w:tcPr>
            <w:tcW w:w="1069" w:type="dxa"/>
            <w:tcBorders>
              <w:top w:val="nil"/>
              <w:left w:val="nil"/>
              <w:bottom w:val="single" w:sz="4" w:space="0" w:color="auto"/>
              <w:right w:val="single" w:sz="4" w:space="0" w:color="auto"/>
            </w:tcBorders>
            <w:shd w:val="clear" w:color="auto" w:fill="auto"/>
            <w:noWrap/>
            <w:vAlign w:val="bottom"/>
            <w:hideMark/>
          </w:tcPr>
          <w:p w14:paraId="6619C6DA" w14:textId="1C783A7F" w:rsidR="00CD5DB0" w:rsidRPr="00CD5DB0" w:rsidRDefault="00CD5DB0" w:rsidP="00CD5DB0">
            <w:pPr>
              <w:spacing w:after="0" w:line="240" w:lineRule="auto"/>
              <w:rPr>
                <w:rFonts w:ascii="Calibri" w:eastAsia="Times New Roman" w:hAnsi="Calibri" w:cs="Calibri"/>
                <w:color w:val="000000"/>
              </w:rPr>
            </w:pPr>
          </w:p>
        </w:tc>
      </w:tr>
      <w:tr w:rsidR="00CD5DB0" w:rsidRPr="00CD5DB0" w14:paraId="3D78A9BF"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2BA844F0"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144" w:type="dxa"/>
            <w:tcBorders>
              <w:top w:val="nil"/>
              <w:left w:val="nil"/>
              <w:bottom w:val="single" w:sz="4" w:space="0" w:color="auto"/>
              <w:right w:val="single" w:sz="4" w:space="0" w:color="auto"/>
            </w:tcBorders>
            <w:shd w:val="clear" w:color="auto" w:fill="auto"/>
            <w:noWrap/>
            <w:vAlign w:val="bottom"/>
            <w:hideMark/>
          </w:tcPr>
          <w:p w14:paraId="716975E3"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800" w:type="dxa"/>
            <w:tcBorders>
              <w:top w:val="nil"/>
              <w:left w:val="nil"/>
              <w:bottom w:val="single" w:sz="4" w:space="0" w:color="auto"/>
              <w:right w:val="single" w:sz="4" w:space="0" w:color="auto"/>
            </w:tcBorders>
            <w:shd w:val="clear" w:color="auto" w:fill="auto"/>
            <w:noWrap/>
            <w:vAlign w:val="bottom"/>
            <w:hideMark/>
          </w:tcPr>
          <w:p w14:paraId="75DC8956"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750" w:type="dxa"/>
            <w:tcBorders>
              <w:top w:val="nil"/>
              <w:left w:val="nil"/>
              <w:bottom w:val="single" w:sz="4" w:space="0" w:color="auto"/>
              <w:right w:val="single" w:sz="4" w:space="0" w:color="auto"/>
            </w:tcBorders>
            <w:shd w:val="clear" w:color="auto" w:fill="auto"/>
            <w:noWrap/>
            <w:vAlign w:val="bottom"/>
            <w:hideMark/>
          </w:tcPr>
          <w:p w14:paraId="288D9C75"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1069" w:type="dxa"/>
            <w:tcBorders>
              <w:top w:val="nil"/>
              <w:left w:val="nil"/>
              <w:bottom w:val="single" w:sz="4" w:space="0" w:color="auto"/>
              <w:right w:val="single" w:sz="4" w:space="0" w:color="auto"/>
            </w:tcBorders>
            <w:shd w:val="clear" w:color="auto" w:fill="auto"/>
            <w:noWrap/>
            <w:vAlign w:val="bottom"/>
            <w:hideMark/>
          </w:tcPr>
          <w:p w14:paraId="5BB803DA"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r>
      <w:tr w:rsidR="00CD5DB0" w:rsidRPr="00CD5DB0" w14:paraId="63E3F177"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5914DF46"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144" w:type="dxa"/>
            <w:tcBorders>
              <w:top w:val="nil"/>
              <w:left w:val="nil"/>
              <w:bottom w:val="single" w:sz="4" w:space="0" w:color="auto"/>
              <w:right w:val="single" w:sz="4" w:space="0" w:color="auto"/>
            </w:tcBorders>
            <w:shd w:val="clear" w:color="auto" w:fill="auto"/>
            <w:noWrap/>
            <w:vAlign w:val="bottom"/>
            <w:hideMark/>
          </w:tcPr>
          <w:p w14:paraId="10C666EF"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800" w:type="dxa"/>
            <w:tcBorders>
              <w:top w:val="nil"/>
              <w:left w:val="nil"/>
              <w:bottom w:val="single" w:sz="4" w:space="0" w:color="auto"/>
              <w:right w:val="single" w:sz="4" w:space="0" w:color="auto"/>
            </w:tcBorders>
            <w:shd w:val="clear" w:color="auto" w:fill="auto"/>
            <w:noWrap/>
            <w:vAlign w:val="bottom"/>
            <w:hideMark/>
          </w:tcPr>
          <w:p w14:paraId="2667A4E2"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750" w:type="dxa"/>
            <w:tcBorders>
              <w:top w:val="nil"/>
              <w:left w:val="nil"/>
              <w:bottom w:val="single" w:sz="4" w:space="0" w:color="auto"/>
              <w:right w:val="single" w:sz="4" w:space="0" w:color="auto"/>
            </w:tcBorders>
            <w:shd w:val="clear" w:color="auto" w:fill="auto"/>
            <w:noWrap/>
            <w:vAlign w:val="bottom"/>
            <w:hideMark/>
          </w:tcPr>
          <w:p w14:paraId="712D4592"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1069" w:type="dxa"/>
            <w:tcBorders>
              <w:top w:val="nil"/>
              <w:left w:val="nil"/>
              <w:bottom w:val="single" w:sz="4" w:space="0" w:color="auto"/>
              <w:right w:val="single" w:sz="4" w:space="0" w:color="auto"/>
            </w:tcBorders>
            <w:shd w:val="clear" w:color="auto" w:fill="auto"/>
            <w:noWrap/>
            <w:vAlign w:val="bottom"/>
            <w:hideMark/>
          </w:tcPr>
          <w:p w14:paraId="70D2D936"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r>
      <w:tr w:rsidR="00CD5DB0" w:rsidRPr="00CD5DB0" w14:paraId="1606953D"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3AB33E05"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144" w:type="dxa"/>
            <w:tcBorders>
              <w:top w:val="nil"/>
              <w:left w:val="nil"/>
              <w:bottom w:val="single" w:sz="4" w:space="0" w:color="auto"/>
              <w:right w:val="single" w:sz="4" w:space="0" w:color="auto"/>
            </w:tcBorders>
            <w:shd w:val="clear" w:color="auto" w:fill="auto"/>
            <w:noWrap/>
            <w:vAlign w:val="bottom"/>
            <w:hideMark/>
          </w:tcPr>
          <w:p w14:paraId="095F0CDA"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800" w:type="dxa"/>
            <w:tcBorders>
              <w:top w:val="nil"/>
              <w:left w:val="nil"/>
              <w:bottom w:val="single" w:sz="4" w:space="0" w:color="auto"/>
              <w:right w:val="single" w:sz="4" w:space="0" w:color="auto"/>
            </w:tcBorders>
            <w:shd w:val="clear" w:color="auto" w:fill="auto"/>
            <w:noWrap/>
            <w:vAlign w:val="bottom"/>
            <w:hideMark/>
          </w:tcPr>
          <w:p w14:paraId="1E7CC22B"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750" w:type="dxa"/>
            <w:tcBorders>
              <w:top w:val="nil"/>
              <w:left w:val="nil"/>
              <w:bottom w:val="single" w:sz="4" w:space="0" w:color="auto"/>
              <w:right w:val="single" w:sz="4" w:space="0" w:color="auto"/>
            </w:tcBorders>
            <w:shd w:val="clear" w:color="auto" w:fill="auto"/>
            <w:noWrap/>
            <w:vAlign w:val="bottom"/>
            <w:hideMark/>
          </w:tcPr>
          <w:p w14:paraId="33319D3A"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1069" w:type="dxa"/>
            <w:tcBorders>
              <w:top w:val="nil"/>
              <w:left w:val="nil"/>
              <w:bottom w:val="single" w:sz="4" w:space="0" w:color="auto"/>
              <w:right w:val="single" w:sz="4" w:space="0" w:color="auto"/>
            </w:tcBorders>
            <w:shd w:val="clear" w:color="auto" w:fill="auto"/>
            <w:noWrap/>
            <w:vAlign w:val="bottom"/>
            <w:hideMark/>
          </w:tcPr>
          <w:p w14:paraId="116976FD"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r>
      <w:tr w:rsidR="00CD5DB0" w:rsidRPr="00CD5DB0" w14:paraId="741B7A33"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15980A06"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144" w:type="dxa"/>
            <w:tcBorders>
              <w:top w:val="nil"/>
              <w:left w:val="nil"/>
              <w:bottom w:val="single" w:sz="4" w:space="0" w:color="auto"/>
              <w:right w:val="single" w:sz="4" w:space="0" w:color="auto"/>
            </w:tcBorders>
            <w:shd w:val="clear" w:color="auto" w:fill="auto"/>
            <w:noWrap/>
            <w:vAlign w:val="bottom"/>
            <w:hideMark/>
          </w:tcPr>
          <w:p w14:paraId="04C538E3"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800" w:type="dxa"/>
            <w:tcBorders>
              <w:top w:val="nil"/>
              <w:left w:val="nil"/>
              <w:bottom w:val="single" w:sz="4" w:space="0" w:color="auto"/>
              <w:right w:val="single" w:sz="4" w:space="0" w:color="auto"/>
            </w:tcBorders>
            <w:shd w:val="clear" w:color="auto" w:fill="auto"/>
            <w:noWrap/>
            <w:vAlign w:val="bottom"/>
            <w:hideMark/>
          </w:tcPr>
          <w:p w14:paraId="1D24127E"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750" w:type="dxa"/>
            <w:tcBorders>
              <w:top w:val="nil"/>
              <w:left w:val="nil"/>
              <w:bottom w:val="single" w:sz="4" w:space="0" w:color="auto"/>
              <w:right w:val="single" w:sz="4" w:space="0" w:color="auto"/>
            </w:tcBorders>
            <w:shd w:val="clear" w:color="auto" w:fill="auto"/>
            <w:noWrap/>
            <w:vAlign w:val="bottom"/>
            <w:hideMark/>
          </w:tcPr>
          <w:p w14:paraId="0BE61DD4"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1069" w:type="dxa"/>
            <w:tcBorders>
              <w:top w:val="nil"/>
              <w:left w:val="nil"/>
              <w:bottom w:val="single" w:sz="4" w:space="0" w:color="auto"/>
              <w:right w:val="single" w:sz="4" w:space="0" w:color="auto"/>
            </w:tcBorders>
            <w:shd w:val="clear" w:color="auto" w:fill="auto"/>
            <w:noWrap/>
            <w:vAlign w:val="bottom"/>
            <w:hideMark/>
          </w:tcPr>
          <w:p w14:paraId="16130E62"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r>
      <w:tr w:rsidR="00CD5DB0" w:rsidRPr="00CD5DB0" w14:paraId="692114C1" w14:textId="77777777" w:rsidTr="00873D47">
        <w:trPr>
          <w:trHeight w:val="347"/>
        </w:trPr>
        <w:tc>
          <w:tcPr>
            <w:tcW w:w="1429" w:type="dxa"/>
            <w:tcBorders>
              <w:top w:val="nil"/>
              <w:left w:val="single" w:sz="4" w:space="0" w:color="auto"/>
              <w:bottom w:val="single" w:sz="4" w:space="0" w:color="auto"/>
              <w:right w:val="single" w:sz="4" w:space="0" w:color="auto"/>
            </w:tcBorders>
            <w:shd w:val="clear" w:color="auto" w:fill="auto"/>
            <w:noWrap/>
            <w:vAlign w:val="bottom"/>
            <w:hideMark/>
          </w:tcPr>
          <w:p w14:paraId="5D2BE3FF"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144" w:type="dxa"/>
            <w:tcBorders>
              <w:top w:val="nil"/>
              <w:left w:val="nil"/>
              <w:bottom w:val="single" w:sz="4" w:space="0" w:color="auto"/>
              <w:right w:val="single" w:sz="4" w:space="0" w:color="auto"/>
            </w:tcBorders>
            <w:shd w:val="clear" w:color="auto" w:fill="auto"/>
            <w:noWrap/>
            <w:vAlign w:val="bottom"/>
            <w:hideMark/>
          </w:tcPr>
          <w:p w14:paraId="77D69602"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800" w:type="dxa"/>
            <w:tcBorders>
              <w:top w:val="nil"/>
              <w:left w:val="nil"/>
              <w:bottom w:val="single" w:sz="4" w:space="0" w:color="auto"/>
              <w:right w:val="single" w:sz="4" w:space="0" w:color="auto"/>
            </w:tcBorders>
            <w:shd w:val="clear" w:color="auto" w:fill="auto"/>
            <w:noWrap/>
            <w:vAlign w:val="bottom"/>
            <w:hideMark/>
          </w:tcPr>
          <w:p w14:paraId="7E45CBE6"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2750" w:type="dxa"/>
            <w:tcBorders>
              <w:top w:val="nil"/>
              <w:left w:val="nil"/>
              <w:bottom w:val="single" w:sz="4" w:space="0" w:color="auto"/>
              <w:right w:val="single" w:sz="4" w:space="0" w:color="auto"/>
            </w:tcBorders>
            <w:shd w:val="clear" w:color="auto" w:fill="auto"/>
            <w:noWrap/>
            <w:vAlign w:val="bottom"/>
            <w:hideMark/>
          </w:tcPr>
          <w:p w14:paraId="56AC3C73"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c>
          <w:tcPr>
            <w:tcW w:w="1069" w:type="dxa"/>
            <w:tcBorders>
              <w:top w:val="nil"/>
              <w:left w:val="nil"/>
              <w:bottom w:val="single" w:sz="4" w:space="0" w:color="auto"/>
              <w:right w:val="single" w:sz="4" w:space="0" w:color="auto"/>
            </w:tcBorders>
            <w:shd w:val="clear" w:color="auto" w:fill="auto"/>
            <w:noWrap/>
            <w:vAlign w:val="bottom"/>
            <w:hideMark/>
          </w:tcPr>
          <w:p w14:paraId="2897F865" w14:textId="77777777" w:rsidR="00CD5DB0" w:rsidRPr="00CD5DB0" w:rsidRDefault="00CD5DB0" w:rsidP="00CD5DB0">
            <w:pPr>
              <w:spacing w:after="0" w:line="240" w:lineRule="auto"/>
              <w:rPr>
                <w:rFonts w:ascii="Calibri" w:eastAsia="Times New Roman" w:hAnsi="Calibri" w:cs="Calibri"/>
                <w:color w:val="000000"/>
              </w:rPr>
            </w:pPr>
            <w:r w:rsidRPr="00CD5DB0">
              <w:rPr>
                <w:rFonts w:ascii="Calibri" w:eastAsia="Times New Roman" w:hAnsi="Calibri" w:cs="Calibri"/>
                <w:color w:val="000000"/>
              </w:rPr>
              <w:t> </w:t>
            </w:r>
          </w:p>
        </w:tc>
      </w:tr>
    </w:tbl>
    <w:p w14:paraId="5B955F3A" w14:textId="352616B1" w:rsidR="00CD5DB0" w:rsidRDefault="00CD5DB0"/>
    <w:p w14:paraId="11415155" w14:textId="2DEC233E" w:rsidR="00CD5DB0" w:rsidRDefault="00CD5DB0">
      <w:r>
        <w:t>*</w:t>
      </w:r>
      <w:r w:rsidRPr="00CD5DB0">
        <w:t>attribution of human feelings, physical qualities and mental states to unanimated artefacts; humans tend to see their world as a reflection of themselves</w:t>
      </w:r>
      <w:r>
        <w:t xml:space="preserve"> </w:t>
      </w:r>
      <w:r>
        <w:fldChar w:fldCharType="begin"/>
      </w:r>
      <w:r>
        <w:instrText xml:space="preserve"> ADDIN ZOTERO_ITEM CSL_CITATION {"citationID":"JrnkKyqG","properties":{"formattedCitation":"(Guiot, 2019, p. 115)","plainCitation":"(Guiot, 2019, p. 115)","noteIndex":0},"citationItems":[{"id":8,"uris":["http://zotero.org/users/9728326/items/3HC6ANSG"],"itemData":{"id":8,"type":"thesis","abstract":"Despite the escalating growth of usage of Artificial Intelligence systems (AI) and Artificial Intelligence Agents, it has been found that people still struggle to trust AI. There are many explanations to this phenomenon. In general people still prefer human touch (especially in consumer service), they are not comfortable interacting with AI, they are concerned about data usage and privacy. Last, they believe the system does not have any morality/ethics (Pegasystems Inc., 2019). In fact, despite the spread and improvements of AI agents, those obstacles persist in the adoption and use of personal assistants (Cuadra, Rase; 2018). Trust research in information technology is currently a hot topic: this increased interest might be due to the consequences this technology is bringing. Trust in technology is complex, variegated and many elements can be taken into consideration depending on the context. In technology and computer systems exist the same problems of expectation, of willingness to be vulnerable and of possible negative outcome (Hall, 2010). Trust is a prerequisite of human-human interaction: humans feel the need to have a more predictable environment and understand others’ intentions and motivations. In order to interact even in less predictable contexts and circumstances, people apply different strategies, which are found to be similar in Human-Computer-Interaction. Trust plays a fundamental role in technology because it is a “primary predictor” for use of technology (Li et al., 2008), increases adoption rates (De Kruijff, 2018) and the acceptance of the computer system (Parasuraman &amp; Riley, 1997). According to some researchers, trust is about relationship, and as being a social construct, AI lacks intrinsic qualities needed to lead to trust. This current work explores different models and research about psychological trust applied to Human-Agent-Interaction in order to find strategies to build trust in this technology. This was combined with an investigation about users’ perceptions and experience with a voice activated assistant and reported trust (in this case Amazon Alexa) in two different interaction modalities. The problem was addressed with a literary review to understand the different approaches of “Trust research” and “AI Agent factors that contributes to trust”, which were further analyzed in a research with 12 participants. The aim was to figure out if trust relationship between Human-agent-interaction was depending on personal, environmental (contextual) or related to a specific device factor. The result of the research identifies the projects elements that are useful to build a trustworthy relationship; the thesis also provides a set of guidelines for designing and build trust in a first-time interaction scenario.","language":"en","publisher":"Politecnico di Milano","source":"Zotero","title":"Designing Trustworthy Agents","author":[{"family":"Guiot","given":"Valeria"}],"issued":{"date-parts":[["2019"]]}},"locator":"115"}],"schema":"https://github.com/citation-style-language/schema/raw/master/csl-citation.json"} </w:instrText>
      </w:r>
      <w:r>
        <w:fldChar w:fldCharType="separate"/>
      </w:r>
      <w:r w:rsidRPr="00CD5DB0">
        <w:rPr>
          <w:rFonts w:ascii="Calibri" w:hAnsi="Calibri" w:cs="Calibri"/>
        </w:rPr>
        <w:t>(Guiot, 2019, p. 115)</w:t>
      </w:r>
      <w:r>
        <w:fldChar w:fldCharType="end"/>
      </w:r>
    </w:p>
    <w:p w14:paraId="74EFBAE5" w14:textId="77777777" w:rsidR="00D75660" w:rsidRDefault="00D75660"/>
    <w:p w14:paraId="137BAFD7" w14:textId="0EF9FC35" w:rsidR="00D75660" w:rsidRDefault="00D75660"/>
    <w:p w14:paraId="274D3933" w14:textId="58982FFE" w:rsidR="009F01B8" w:rsidRDefault="009F01B8"/>
    <w:p w14:paraId="617614A3" w14:textId="72562097" w:rsidR="009F01B8" w:rsidRDefault="009F01B8" w:rsidP="009F01B8">
      <w:pPr>
        <w:pStyle w:val="berschrift2"/>
      </w:pPr>
      <w:r>
        <w:t xml:space="preserve">Further relevant articles: </w:t>
      </w:r>
    </w:p>
    <w:p w14:paraId="6D2D2D59" w14:textId="13771940" w:rsidR="009F01B8" w:rsidRDefault="009F01B8" w:rsidP="009F01B8">
      <w:pPr>
        <w:pStyle w:val="Listenabsatz"/>
        <w:numPr>
          <w:ilvl w:val="0"/>
          <w:numId w:val="2"/>
        </w:numPr>
      </w:pPr>
      <w:r w:rsidRPr="009F01B8">
        <w:rPr>
          <w:b/>
        </w:rPr>
        <w:t>Categorize social robot according to socially evocative, social interface, socially receptive, and sociable</w:t>
      </w:r>
      <w:r>
        <w:t xml:space="preserve"> -&gt; d</w:t>
      </w:r>
      <w:r w:rsidRPr="009F01B8">
        <w:t>esign of the robot increases in its ability to support the social model in more complex environments</w:t>
      </w:r>
    </w:p>
    <w:p w14:paraId="1D915B9E" w14:textId="596ED095" w:rsidR="009F01B8" w:rsidRDefault="009F01B8" w:rsidP="009F01B8">
      <w:pPr>
        <w:pStyle w:val="Listenabsatz"/>
        <w:numPr>
          <w:ilvl w:val="1"/>
          <w:numId w:val="2"/>
        </w:numPr>
      </w:pPr>
      <w:r>
        <w:t xml:space="preserve">Importance of social model, which is </w:t>
      </w:r>
      <w:r w:rsidRPr="009F01B8">
        <w:t xml:space="preserve">often </w:t>
      </w:r>
      <w:r>
        <w:t>applied</w:t>
      </w:r>
      <w:r w:rsidRPr="009F01B8">
        <w:t xml:space="preserve"> to explain, understand, and predict behavior </w:t>
      </w:r>
      <w:r w:rsidR="005C00D3">
        <w:fldChar w:fldCharType="begin"/>
      </w:r>
      <w:r w:rsidR="005C00D3">
        <w:instrText xml:space="preserve"> ADDIN ZOTERO_ITEM CSL_CITATION {"citationID":"hd4grMIJ","properties":{"formattedCitation":"(Breazeal, 2003)","plainCitation":"(Breazeal, 2003)","noteIndex":0},"citationItems":[{"id":4,"uris":["http://zotero.org/users/9728326/items/83PXBHRU"],"itemData":{"id":4,"type":"article-journal","abstract":"This paper explores the topic of social robots—the class of robots that people anthropomorphize in order to interact with them. From the diverse and growing number of applications for such robots, a few distinct modes of interaction are beginning to emerge. We distinguish four such classes: socially evocative, social interface, socially receptive, and sociable. For the remainder of the paper, we explore a few key features of sociable robots that distinguish them from the others. We use the vocal turn-taking behavior of our robot, Kismet, as a case study to highlight these points.","container-title":"Robotics and Autonomous Systems","DOI":"10.1016/S0921-8890(02)00373-1","ISSN":"09218890","issue":"3-4","journalAbbreviation":"Robotics and Autonomous Systems","language":"en","page":"167-175","source":"DOI.org (Crossref)","title":"Toward sociable robots","volume":"42","author":[{"family":"Breazeal","given":"Cynthia"}],"issued":{"date-parts":[["2003",3]]}}}],"schema":"https://github.com/citation-style-language/schema/raw/master/csl-citation.json"} </w:instrText>
      </w:r>
      <w:r w:rsidR="005C00D3">
        <w:fldChar w:fldCharType="separate"/>
      </w:r>
      <w:r w:rsidR="005C00D3" w:rsidRPr="009F01B8">
        <w:rPr>
          <w:rFonts w:ascii="Calibri" w:hAnsi="Calibri" w:cs="Calibri"/>
        </w:rPr>
        <w:t>(Breazeal, 2003)</w:t>
      </w:r>
      <w:r w:rsidR="005C00D3">
        <w:fldChar w:fldCharType="end"/>
      </w:r>
    </w:p>
    <w:p w14:paraId="0B44B98D" w14:textId="36BB376D" w:rsidR="009F01B8" w:rsidRDefault="009F01B8" w:rsidP="009F01B8">
      <w:pPr>
        <w:pStyle w:val="Listenabsatz"/>
        <w:numPr>
          <w:ilvl w:val="0"/>
          <w:numId w:val="2"/>
        </w:numPr>
      </w:pPr>
      <w:r>
        <w:t>Check presentation fidelity X interactivity with robot</w:t>
      </w:r>
    </w:p>
    <w:p w14:paraId="474A25F1" w14:textId="552CE4D2" w:rsidR="009F01B8" w:rsidRDefault="009F01B8" w:rsidP="009F01B8">
      <w:pPr>
        <w:pStyle w:val="Listenabsatz"/>
        <w:numPr>
          <w:ilvl w:val="1"/>
          <w:numId w:val="2"/>
        </w:numPr>
      </w:pPr>
      <w:r>
        <w:t xml:space="preserve">Scenario texts / mock-ups are not well suited to assess emotional / affective attitudes and social aspects </w:t>
      </w:r>
      <w:r>
        <w:fldChar w:fldCharType="begin"/>
      </w:r>
      <w:r>
        <w:instrText xml:space="preserve"> ADDIN ZOTERO_ITEM CSL_CITATION {"citationID":"6tPnkcj6","properties":{"formattedCitation":"(Xu et al., 2015)","plainCitation":"(Xu et al., 2015)","noteIndex":0},"citationItems":[{"id":6,"uris":["http://zotero.org/users/9728326/items/4Z9S8GHL"],"itemData":{"id":6,"type":"article-journal","abstract":"Scenarios have been widely used for evaluating human–robot interactions (HRIs). However, little has been reported on systematic utilization of different types of media for deploying HRI scenarios. This study investigates the methodological issues in scenario-based HRI evaluation, focusing on the effect of scenario media on user attitudes toward robots. Two experiments are designed to examine how scenario media may inﬂuence the elder adults’ attitudes towards social robots. Different types of scenario media, including text, video, interactive video, and live interaction, were compared systematically with respect to established evaluation criteria. The results showed that the characteristics of scenario media inﬂuenced users’ acceptance of robots and affected their attitudes. The outcome of the study helps designers to select scenario media for deploying contextual information of HRI.","container-title":"International Journal of Social Robotics","DOI":"10.1007/s12369-014-0248-9","ISSN":"1875-4791, 1875-4805","issue":"2","journalAbbreviation":"Int J of Soc Robotics","language":"en","page":"279-291","source":"DOI.org (Crossref)","title":"Methodological Issues in Scenario-Based Evaluation of Human–Robot Interaction","volume":"7","author":[{"family":"Xu","given":"Qianli"},{"family":"Ng","given":"Jamie"},{"family":"Tan","given":"Odelia"},{"family":"Huang","given":"Zhiyong"},{"family":"Tay","given":"Benedict"},{"family":"Park","given":"Taezoon"}],"issued":{"date-parts":[["2015",4]]}}}],"schema":"https://github.com/citation-style-language/schema/raw/master/csl-citation.json"} </w:instrText>
      </w:r>
      <w:r>
        <w:fldChar w:fldCharType="separate"/>
      </w:r>
      <w:r w:rsidRPr="009F01B8">
        <w:rPr>
          <w:rFonts w:ascii="Calibri" w:hAnsi="Calibri" w:cs="Calibri"/>
        </w:rPr>
        <w:t>(Xu et al., 2015)</w:t>
      </w:r>
      <w:r>
        <w:fldChar w:fldCharType="end"/>
      </w:r>
    </w:p>
    <w:p w14:paraId="71AE78D4" w14:textId="77777777" w:rsidR="009F01B8" w:rsidRDefault="009F01B8" w:rsidP="009F01B8"/>
    <w:p w14:paraId="64B55E43" w14:textId="365325D4" w:rsidR="005C00D3" w:rsidRDefault="005C00D3"/>
    <w:p w14:paraId="2EDF122E" w14:textId="3EC93239" w:rsidR="009F01B8" w:rsidRDefault="009F01B8"/>
    <w:p w14:paraId="4798816F" w14:textId="40AA592A" w:rsidR="009F01B8" w:rsidRDefault="009F01B8"/>
    <w:p w14:paraId="622B71EE" w14:textId="37BE90DA" w:rsidR="009F01B8" w:rsidRDefault="009F01B8">
      <w:r>
        <w:br w:type="page"/>
      </w:r>
    </w:p>
    <w:p w14:paraId="24C7C96C" w14:textId="4058BC78" w:rsidR="009F01B8" w:rsidRDefault="009F01B8" w:rsidP="009F01B8">
      <w:pPr>
        <w:pStyle w:val="berschrift1"/>
      </w:pPr>
      <w:r>
        <w:lastRenderedPageBreak/>
        <w:t>Literature</w:t>
      </w:r>
    </w:p>
    <w:p w14:paraId="73D4B7B8" w14:textId="77777777" w:rsidR="009F01B8" w:rsidRPr="009F01B8" w:rsidRDefault="005C00D3" w:rsidP="009F01B8">
      <w:pPr>
        <w:pStyle w:val="Literaturverzeichnis"/>
        <w:rPr>
          <w:rFonts w:ascii="Calibri" w:hAnsi="Calibri" w:cs="Calibri"/>
        </w:rPr>
      </w:pPr>
      <w:r>
        <w:fldChar w:fldCharType="begin"/>
      </w:r>
      <w:r>
        <w:instrText xml:space="preserve"> ADDIN ZOTERO_BIBL {"uncited":[],"omitted":[],"custom":[]} CSL_BIBLIOGRAPHY </w:instrText>
      </w:r>
      <w:r>
        <w:fldChar w:fldCharType="separate"/>
      </w:r>
      <w:r w:rsidR="009F01B8" w:rsidRPr="009F01B8">
        <w:rPr>
          <w:rFonts w:ascii="Calibri" w:hAnsi="Calibri" w:cs="Calibri"/>
        </w:rPr>
        <w:t xml:space="preserve">Breazeal, C. (2003). Toward sociable robots. </w:t>
      </w:r>
      <w:r w:rsidR="009F01B8" w:rsidRPr="009F01B8">
        <w:rPr>
          <w:rFonts w:ascii="Calibri" w:hAnsi="Calibri" w:cs="Calibri"/>
          <w:i/>
          <w:iCs/>
        </w:rPr>
        <w:t>Robotics and Autonomous Systems</w:t>
      </w:r>
      <w:r w:rsidR="009F01B8" w:rsidRPr="009F01B8">
        <w:rPr>
          <w:rFonts w:ascii="Calibri" w:hAnsi="Calibri" w:cs="Calibri"/>
        </w:rPr>
        <w:t xml:space="preserve">, </w:t>
      </w:r>
      <w:r w:rsidR="009F01B8" w:rsidRPr="009F01B8">
        <w:rPr>
          <w:rFonts w:ascii="Calibri" w:hAnsi="Calibri" w:cs="Calibri"/>
          <w:i/>
          <w:iCs/>
        </w:rPr>
        <w:t>42</w:t>
      </w:r>
      <w:r w:rsidR="009F01B8" w:rsidRPr="009F01B8">
        <w:rPr>
          <w:rFonts w:ascii="Calibri" w:hAnsi="Calibri" w:cs="Calibri"/>
        </w:rPr>
        <w:t>(3–4), 167–175. https://doi.org/10.1016/S0921-8890(02)00373-1</w:t>
      </w:r>
    </w:p>
    <w:p w14:paraId="42991623" w14:textId="77777777" w:rsidR="009F01B8" w:rsidRPr="009F01B8" w:rsidRDefault="009F01B8" w:rsidP="009F01B8">
      <w:pPr>
        <w:pStyle w:val="Literaturverzeichnis"/>
        <w:rPr>
          <w:rFonts w:ascii="Calibri" w:hAnsi="Calibri" w:cs="Calibri"/>
        </w:rPr>
      </w:pPr>
      <w:r w:rsidRPr="009F01B8">
        <w:rPr>
          <w:rFonts w:ascii="Calibri" w:hAnsi="Calibri" w:cs="Calibri"/>
        </w:rPr>
        <w:t xml:space="preserve">Guiot, V. (2019). </w:t>
      </w:r>
      <w:r w:rsidRPr="009F01B8">
        <w:rPr>
          <w:rFonts w:ascii="Calibri" w:hAnsi="Calibri" w:cs="Calibri"/>
          <w:i/>
          <w:iCs/>
        </w:rPr>
        <w:t>Designing Trustworthy Agents</w:t>
      </w:r>
      <w:r w:rsidRPr="009F01B8">
        <w:rPr>
          <w:rFonts w:ascii="Calibri" w:hAnsi="Calibri" w:cs="Calibri"/>
        </w:rPr>
        <w:t>. Politecnico di Milano.</w:t>
      </w:r>
    </w:p>
    <w:p w14:paraId="05F32625" w14:textId="77777777" w:rsidR="009F01B8" w:rsidRPr="009F01B8" w:rsidRDefault="009F01B8" w:rsidP="009F01B8">
      <w:pPr>
        <w:pStyle w:val="Literaturverzeichnis"/>
        <w:rPr>
          <w:rFonts w:ascii="Calibri" w:hAnsi="Calibri" w:cs="Calibri"/>
        </w:rPr>
      </w:pPr>
      <w:r w:rsidRPr="009F01B8">
        <w:rPr>
          <w:rFonts w:ascii="Calibri" w:hAnsi="Calibri" w:cs="Calibri"/>
        </w:rPr>
        <w:t xml:space="preserve">Torresen, J. (2018). A Review of Future and Ethical Perspectives of Robotics and AI. </w:t>
      </w:r>
      <w:r w:rsidRPr="009F01B8">
        <w:rPr>
          <w:rFonts w:ascii="Calibri" w:hAnsi="Calibri" w:cs="Calibri"/>
          <w:i/>
          <w:iCs/>
        </w:rPr>
        <w:t>Frontiers in Robotics and AI</w:t>
      </w:r>
      <w:r w:rsidRPr="009F01B8">
        <w:rPr>
          <w:rFonts w:ascii="Calibri" w:hAnsi="Calibri" w:cs="Calibri"/>
        </w:rPr>
        <w:t xml:space="preserve">, </w:t>
      </w:r>
      <w:r w:rsidRPr="009F01B8">
        <w:rPr>
          <w:rFonts w:ascii="Calibri" w:hAnsi="Calibri" w:cs="Calibri"/>
          <w:i/>
          <w:iCs/>
        </w:rPr>
        <w:t>4</w:t>
      </w:r>
      <w:r w:rsidRPr="009F01B8">
        <w:rPr>
          <w:rFonts w:ascii="Calibri" w:hAnsi="Calibri" w:cs="Calibri"/>
        </w:rPr>
        <w:t>. https://www.frontiersin.org/article/10.3389/frobt.2017.00075</w:t>
      </w:r>
    </w:p>
    <w:p w14:paraId="5C0AFC5B" w14:textId="77777777" w:rsidR="009F01B8" w:rsidRPr="009F01B8" w:rsidRDefault="009F01B8" w:rsidP="009F01B8">
      <w:pPr>
        <w:pStyle w:val="Literaturverzeichnis"/>
        <w:rPr>
          <w:rFonts w:ascii="Calibri" w:hAnsi="Calibri" w:cs="Calibri"/>
        </w:rPr>
      </w:pPr>
      <w:r w:rsidRPr="009F01B8">
        <w:rPr>
          <w:rFonts w:ascii="Calibri" w:hAnsi="Calibri" w:cs="Calibri"/>
        </w:rPr>
        <w:t xml:space="preserve">Xu, Q., Ng, J., Tan, O., Huang, Z., Tay, B., &amp; Park, T. (2015). Methodological Issues in Scenario-Based Evaluation of Human–Robot Interaction. </w:t>
      </w:r>
      <w:r w:rsidRPr="009F01B8">
        <w:rPr>
          <w:rFonts w:ascii="Calibri" w:hAnsi="Calibri" w:cs="Calibri"/>
          <w:i/>
          <w:iCs/>
        </w:rPr>
        <w:t>International Journal of Social Robotics</w:t>
      </w:r>
      <w:r w:rsidRPr="009F01B8">
        <w:rPr>
          <w:rFonts w:ascii="Calibri" w:hAnsi="Calibri" w:cs="Calibri"/>
        </w:rPr>
        <w:t xml:space="preserve">, </w:t>
      </w:r>
      <w:r w:rsidRPr="009F01B8">
        <w:rPr>
          <w:rFonts w:ascii="Calibri" w:hAnsi="Calibri" w:cs="Calibri"/>
          <w:i/>
          <w:iCs/>
        </w:rPr>
        <w:t>7</w:t>
      </w:r>
      <w:r w:rsidRPr="009F01B8">
        <w:rPr>
          <w:rFonts w:ascii="Calibri" w:hAnsi="Calibri" w:cs="Calibri"/>
        </w:rPr>
        <w:t>(2), 279–291. https://doi.org/10.1007/s12369-014-0248-9</w:t>
      </w:r>
    </w:p>
    <w:p w14:paraId="76ACAE7A" w14:textId="4A96C68C" w:rsidR="005C00D3" w:rsidRDefault="005C00D3">
      <w:r>
        <w:fldChar w:fldCharType="end"/>
      </w:r>
    </w:p>
    <w:p w14:paraId="1E2C412C" w14:textId="22CCE8FD" w:rsidR="005C00D3" w:rsidRDefault="005C00D3"/>
    <w:p w14:paraId="2A12E7A3" w14:textId="77777777" w:rsidR="005C00D3" w:rsidRPr="00CD5DB0" w:rsidRDefault="005C00D3"/>
    <w:sectPr w:rsidR="005C00D3" w:rsidRPr="00CD5DB0"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C28FF"/>
    <w:multiLevelType w:val="hybridMultilevel"/>
    <w:tmpl w:val="D4660132"/>
    <w:lvl w:ilvl="0" w:tplc="E9D8A98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11DF0"/>
    <w:multiLevelType w:val="hybridMultilevel"/>
    <w:tmpl w:val="539AA5F0"/>
    <w:lvl w:ilvl="0" w:tplc="E9D8A98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6EF"/>
    <w:rsid w:val="00117594"/>
    <w:rsid w:val="005C00D3"/>
    <w:rsid w:val="00792AC8"/>
    <w:rsid w:val="00873D47"/>
    <w:rsid w:val="009F01B8"/>
    <w:rsid w:val="00A05E83"/>
    <w:rsid w:val="00A306EF"/>
    <w:rsid w:val="00A527C2"/>
    <w:rsid w:val="00BB6B2E"/>
    <w:rsid w:val="00CD5DB0"/>
    <w:rsid w:val="00D21127"/>
    <w:rsid w:val="00D75660"/>
    <w:rsid w:val="00FA3B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11686"/>
  <w15:chartTrackingRefBased/>
  <w15:docId w15:val="{58434670-C36E-454B-8A64-4198526D7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00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erschrift2">
    <w:name w:val="heading 2"/>
    <w:basedOn w:val="Standard"/>
    <w:next w:val="Standard"/>
    <w:link w:val="berschrift2Zchn"/>
    <w:uiPriority w:val="9"/>
    <w:unhideWhenUsed/>
    <w:qFormat/>
    <w:rsid w:val="009F01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00D3"/>
    <w:rPr>
      <w:rFonts w:asciiTheme="majorHAnsi" w:eastAsiaTheme="majorEastAsia" w:hAnsiTheme="majorHAnsi" w:cstheme="majorBidi"/>
      <w:color w:val="2E74B5" w:themeColor="accent1" w:themeShade="BF"/>
      <w:sz w:val="32"/>
      <w:szCs w:val="32"/>
    </w:rPr>
  </w:style>
  <w:style w:type="paragraph" w:styleId="Literaturverzeichnis">
    <w:name w:val="Bibliography"/>
    <w:basedOn w:val="Standard"/>
    <w:next w:val="Standard"/>
    <w:uiPriority w:val="37"/>
    <w:unhideWhenUsed/>
    <w:rsid w:val="005C00D3"/>
    <w:pPr>
      <w:spacing w:after="0" w:line="480" w:lineRule="auto"/>
      <w:ind w:left="720" w:hanging="720"/>
    </w:pPr>
  </w:style>
  <w:style w:type="paragraph" w:styleId="Listenabsatz">
    <w:name w:val="List Paragraph"/>
    <w:basedOn w:val="Standard"/>
    <w:uiPriority w:val="34"/>
    <w:qFormat/>
    <w:rsid w:val="00CD5DB0"/>
    <w:pPr>
      <w:ind w:left="720"/>
      <w:contextualSpacing/>
    </w:pPr>
  </w:style>
  <w:style w:type="character" w:customStyle="1" w:styleId="berschrift2Zchn">
    <w:name w:val="Überschrift 2 Zchn"/>
    <w:basedOn w:val="Absatz-Standardschriftart"/>
    <w:link w:val="berschrift2"/>
    <w:uiPriority w:val="9"/>
    <w:rsid w:val="009F01B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3049241">
      <w:bodyDiv w:val="1"/>
      <w:marLeft w:val="0"/>
      <w:marRight w:val="0"/>
      <w:marTop w:val="0"/>
      <w:marBottom w:val="0"/>
      <w:divBdr>
        <w:top w:val="none" w:sz="0" w:space="0" w:color="auto"/>
        <w:left w:val="none" w:sz="0" w:space="0" w:color="auto"/>
        <w:bottom w:val="none" w:sz="0" w:space="0" w:color="auto"/>
        <w:right w:val="none" w:sz="0" w:space="0" w:color="auto"/>
      </w:divBdr>
    </w:div>
    <w:div w:id="2002082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F4CF87-28EB-4CEA-A72D-A22727DAA8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3506</Words>
  <Characters>19987</Characters>
  <Application>Microsoft Office Word</Application>
  <DocSecurity>0</DocSecurity>
  <Lines>166</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2</cp:revision>
  <dcterms:created xsi:type="dcterms:W3CDTF">2025-08-06T07:17:00Z</dcterms:created>
  <dcterms:modified xsi:type="dcterms:W3CDTF">2025-08-06T07:17:00Z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id="ftnotVQW"/&gt;&lt;style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