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FC13BB" w14:textId="476AAB93" w:rsidR="00DB4B2C" w:rsidRPr="008C47EA" w:rsidRDefault="007856C6" w:rsidP="00A22784">
      <w:pPr>
        <w:keepNext/>
        <w:keepLines/>
        <w:spacing w:line="240" w:lineRule="auto"/>
        <w:outlineLvl w:val="0"/>
        <w:rPr>
          <w:rFonts w:ascii="Arial" w:eastAsiaTheme="majorEastAsia" w:hAnsi="Arial" w:cs="Arial"/>
          <w:b/>
          <w:bCs/>
          <w:szCs w:val="20"/>
        </w:rPr>
      </w:pPr>
      <w:r w:rsidRPr="007856C6">
        <w:rPr>
          <w:rFonts w:ascii="Arial" w:eastAsiaTheme="majorEastAsia" w:hAnsi="Arial" w:cs="Arial"/>
          <w:b/>
          <w:bCs/>
          <w:szCs w:val="20"/>
        </w:rPr>
        <w:t>Preferred Reporting Items for Systematic reviews and Meta-Analyse</w:t>
      </w:r>
      <w:r>
        <w:rPr>
          <w:rFonts w:ascii="Arial" w:eastAsiaTheme="majorEastAsia" w:hAnsi="Arial" w:cs="Arial"/>
          <w:b/>
          <w:bCs/>
          <w:szCs w:val="20"/>
        </w:rPr>
        <w:t>s extension for Scoping Reviews (PRISMA-</w:t>
      </w:r>
      <w:proofErr w:type="spellStart"/>
      <w:r>
        <w:rPr>
          <w:rFonts w:ascii="Arial" w:eastAsiaTheme="majorEastAsia" w:hAnsi="Arial" w:cs="Arial"/>
          <w:b/>
          <w:bCs/>
          <w:szCs w:val="20"/>
        </w:rPr>
        <w:t>ScR</w:t>
      </w:r>
      <w:proofErr w:type="spellEnd"/>
      <w:r>
        <w:rPr>
          <w:rFonts w:ascii="Arial" w:eastAsiaTheme="majorEastAsia" w:hAnsi="Arial" w:cs="Arial"/>
          <w:b/>
          <w:bCs/>
          <w:szCs w:val="20"/>
        </w:rPr>
        <w:t>) Checklist</w:t>
      </w:r>
    </w:p>
    <w:tbl>
      <w:tblPr>
        <w:tblStyle w:val="TableGridLight1"/>
        <w:tblW w:w="0" w:type="auto"/>
        <w:tblLook w:val="04A0" w:firstRow="1" w:lastRow="0" w:firstColumn="1" w:lastColumn="0" w:noHBand="0" w:noVBand="1"/>
      </w:tblPr>
      <w:tblGrid>
        <w:gridCol w:w="1870"/>
        <w:gridCol w:w="694"/>
        <w:gridCol w:w="3183"/>
        <w:gridCol w:w="3829"/>
      </w:tblGrid>
      <w:tr w:rsidR="00DB4B2C" w:rsidRPr="00410502" w14:paraId="71F0F58A" w14:textId="77777777" w:rsidTr="006B2B65">
        <w:trPr>
          <w:tblHeader/>
        </w:trPr>
        <w:tc>
          <w:tcPr>
            <w:tcW w:w="0" w:type="auto"/>
            <w:shd w:val="clear" w:color="auto" w:fill="2E5D8B" w:themeFill="accent1"/>
            <w:vAlign w:val="center"/>
          </w:tcPr>
          <w:p w14:paraId="288DF4B5"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68F17C53" w14:textId="77777777" w:rsidR="00DB4B2C" w:rsidRPr="003101FF" w:rsidRDefault="00DB4B2C" w:rsidP="006B2B65">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133B5B50" w14:textId="4A103D3B" w:rsidR="00DB4B2C" w:rsidRPr="003101FF" w:rsidRDefault="00552CC9" w:rsidP="006B2B65">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w:t>
            </w:r>
            <w:proofErr w:type="spellStart"/>
            <w:r>
              <w:rPr>
                <w:rFonts w:ascii="Arial" w:hAnsi="Arial" w:cs="Arial"/>
                <w:b/>
                <w:color w:val="F2F2F2" w:themeColor="background1" w:themeShade="F2"/>
                <w:sz w:val="20"/>
                <w:szCs w:val="20"/>
              </w:rPr>
              <w:t>Sc</w:t>
            </w:r>
            <w:r w:rsidR="00DB4B2C" w:rsidRPr="003101FF">
              <w:rPr>
                <w:rFonts w:ascii="Arial" w:hAnsi="Arial" w:cs="Arial"/>
                <w:b/>
                <w:color w:val="F2F2F2" w:themeColor="background1" w:themeShade="F2"/>
                <w:sz w:val="20"/>
                <w:szCs w:val="20"/>
              </w:rPr>
              <w:t>R</w:t>
            </w:r>
            <w:proofErr w:type="spellEnd"/>
            <w:r w:rsidR="00DB4B2C" w:rsidRPr="003101FF">
              <w:rPr>
                <w:rFonts w:ascii="Arial" w:hAnsi="Arial" w:cs="Arial"/>
                <w:b/>
                <w:color w:val="F2F2F2" w:themeColor="background1" w:themeShade="F2"/>
                <w:sz w:val="20"/>
                <w:szCs w:val="20"/>
              </w:rPr>
              <w:t xml:space="preserve"> CHECKLIST ITEM</w:t>
            </w:r>
          </w:p>
        </w:tc>
        <w:tc>
          <w:tcPr>
            <w:tcW w:w="0" w:type="auto"/>
            <w:shd w:val="clear" w:color="auto" w:fill="2E5D8B" w:themeFill="accent1"/>
            <w:vAlign w:val="center"/>
          </w:tcPr>
          <w:p w14:paraId="672AD9C3"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DB4B2C" w:rsidRPr="00410502" w14:paraId="18BA7057" w14:textId="77777777" w:rsidTr="006B2B65">
        <w:tc>
          <w:tcPr>
            <w:tcW w:w="0" w:type="auto"/>
            <w:gridSpan w:val="4"/>
            <w:shd w:val="clear" w:color="auto" w:fill="CEDEEF" w:themeFill="accent1" w:themeFillTint="33"/>
            <w:vAlign w:val="center"/>
          </w:tcPr>
          <w:p w14:paraId="440897F5" w14:textId="77777777" w:rsidR="00DB4B2C" w:rsidRPr="00410502" w:rsidRDefault="00DB4B2C" w:rsidP="006B2B65">
            <w:pPr>
              <w:rPr>
                <w:rFonts w:ascii="Arial" w:hAnsi="Arial" w:cs="Arial"/>
                <w:b/>
                <w:sz w:val="20"/>
                <w:szCs w:val="20"/>
              </w:rPr>
            </w:pPr>
            <w:r w:rsidRPr="003101FF">
              <w:rPr>
                <w:rFonts w:ascii="Arial" w:hAnsi="Arial" w:cs="Arial"/>
                <w:b/>
                <w:sz w:val="20"/>
                <w:szCs w:val="20"/>
              </w:rPr>
              <w:t>TITLE</w:t>
            </w:r>
          </w:p>
        </w:tc>
      </w:tr>
      <w:tr w:rsidR="00DB4B2C" w:rsidRPr="00410502" w14:paraId="45EC1A5C" w14:textId="77777777" w:rsidTr="006B2B65">
        <w:tc>
          <w:tcPr>
            <w:tcW w:w="0" w:type="auto"/>
            <w:vAlign w:val="center"/>
          </w:tcPr>
          <w:p w14:paraId="43748762"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687A82E8"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w:t>
            </w:r>
          </w:p>
        </w:tc>
        <w:tc>
          <w:tcPr>
            <w:tcW w:w="0" w:type="auto"/>
            <w:vAlign w:val="center"/>
          </w:tcPr>
          <w:p w14:paraId="3EFCE2FC" w14:textId="77777777" w:rsidR="00DB4B2C" w:rsidRPr="00410502" w:rsidRDefault="00DB4B2C" w:rsidP="006B2B65">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dtPr>
          <w:sdtContent>
            <w:tc>
              <w:tcPr>
                <w:tcW w:w="0" w:type="auto"/>
                <w:vAlign w:val="center"/>
              </w:tcPr>
              <w:p w14:paraId="069CBC2F" w14:textId="59E4032A" w:rsidR="00DB4B2C" w:rsidRPr="00410502" w:rsidRDefault="006737C3" w:rsidP="006B2B65">
                <w:pPr>
                  <w:rPr>
                    <w:rFonts w:ascii="Arial" w:hAnsi="Arial" w:cs="Arial"/>
                    <w:sz w:val="20"/>
                    <w:szCs w:val="20"/>
                  </w:rPr>
                </w:pPr>
                <w:r>
                  <w:rPr>
                    <w:rFonts w:ascii="Arial" w:hAnsi="Arial" w:cs="Arial"/>
                    <w:sz w:val="20"/>
                    <w:szCs w:val="20"/>
                  </w:rPr>
                  <w:t>The scoping review is reported as Section 2.1 (“Existing literature: Scoping review”) within this larger validation article; the article as a whole is not titled as a scoping review, as it also reports three empirical validation studies.</w:t>
                </w:r>
              </w:p>
            </w:tc>
          </w:sdtContent>
        </w:sdt>
      </w:tr>
      <w:tr w:rsidR="00DB4B2C" w:rsidRPr="00410502" w14:paraId="042F3584" w14:textId="77777777" w:rsidTr="006B2B65">
        <w:tc>
          <w:tcPr>
            <w:tcW w:w="0" w:type="auto"/>
            <w:gridSpan w:val="4"/>
            <w:shd w:val="clear" w:color="auto" w:fill="CEDEEF" w:themeFill="accent1" w:themeFillTint="33"/>
            <w:vAlign w:val="center"/>
          </w:tcPr>
          <w:p w14:paraId="0DBC199C" w14:textId="77777777" w:rsidR="00DB4B2C" w:rsidRPr="00410502" w:rsidRDefault="00DB4B2C" w:rsidP="006B2B65">
            <w:pPr>
              <w:rPr>
                <w:rFonts w:ascii="Arial" w:hAnsi="Arial" w:cs="Arial"/>
                <w:b/>
                <w:sz w:val="20"/>
                <w:szCs w:val="20"/>
              </w:rPr>
            </w:pPr>
            <w:r w:rsidRPr="00410502">
              <w:rPr>
                <w:rFonts w:ascii="Arial" w:hAnsi="Arial" w:cs="Arial"/>
                <w:b/>
                <w:sz w:val="20"/>
                <w:szCs w:val="20"/>
              </w:rPr>
              <w:t>ABSTRACT</w:t>
            </w:r>
          </w:p>
        </w:tc>
      </w:tr>
      <w:tr w:rsidR="00DB4B2C" w:rsidRPr="00410502" w14:paraId="26FCF49F" w14:textId="77777777" w:rsidTr="006B2B65">
        <w:tc>
          <w:tcPr>
            <w:tcW w:w="0" w:type="auto"/>
            <w:vAlign w:val="center"/>
          </w:tcPr>
          <w:p w14:paraId="2224B32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4F929AB"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2</w:t>
            </w:r>
          </w:p>
        </w:tc>
        <w:tc>
          <w:tcPr>
            <w:tcW w:w="0" w:type="auto"/>
            <w:vAlign w:val="center"/>
          </w:tcPr>
          <w:p w14:paraId="15C06ACD"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dtPr>
          <w:sdtContent>
            <w:tc>
              <w:tcPr>
                <w:tcW w:w="0" w:type="auto"/>
                <w:vAlign w:val="center"/>
              </w:tcPr>
              <w:p w14:paraId="11CE00AF" w14:textId="3F479482" w:rsidR="00DB4B2C" w:rsidRPr="00410502" w:rsidRDefault="006737C3" w:rsidP="006B2B65">
                <w:pPr>
                  <w:rPr>
                    <w:rFonts w:ascii="Arial" w:hAnsi="Arial" w:cs="Arial"/>
                    <w:sz w:val="20"/>
                    <w:szCs w:val="20"/>
                  </w:rPr>
                </w:pPr>
                <w:r>
                  <w:rPr>
                    <w:rFonts w:ascii="Arial" w:hAnsi="Arial" w:cs="Arial"/>
                    <w:sz w:val="20"/>
                    <w:szCs w:val="20"/>
                  </w:rPr>
                  <w:t>The abstract briefly references the scoping review (“Based on a comprehensive scoping review of existing ethics measurement instruments…”) but does not provide a full structured summary specific to the scoping review; eligibility criteria, sources of evidence, and charting methods are not separately abstracted.</w:t>
                </w:r>
              </w:p>
            </w:tc>
          </w:sdtContent>
        </w:sdt>
      </w:tr>
      <w:tr w:rsidR="00DB4B2C" w:rsidRPr="00410502" w14:paraId="4CE80C0A" w14:textId="77777777" w:rsidTr="006B2B65">
        <w:tc>
          <w:tcPr>
            <w:tcW w:w="0" w:type="auto"/>
            <w:gridSpan w:val="4"/>
            <w:shd w:val="clear" w:color="auto" w:fill="CEDEEF" w:themeFill="accent1" w:themeFillTint="33"/>
            <w:vAlign w:val="center"/>
          </w:tcPr>
          <w:p w14:paraId="51413055" w14:textId="71BE0C78" w:rsidR="00DB4B2C" w:rsidRPr="00410502" w:rsidRDefault="00DB4B2C" w:rsidP="006B2B65">
            <w:pPr>
              <w:tabs>
                <w:tab w:val="left" w:pos="1774"/>
              </w:tabs>
              <w:rPr>
                <w:rFonts w:ascii="Arial" w:hAnsi="Arial" w:cs="Arial"/>
                <w:b/>
                <w:sz w:val="20"/>
                <w:szCs w:val="20"/>
              </w:rPr>
            </w:pPr>
            <w:r w:rsidRPr="00410502">
              <w:rPr>
                <w:rFonts w:ascii="Arial" w:hAnsi="Arial" w:cs="Arial"/>
                <w:b/>
                <w:sz w:val="20"/>
                <w:szCs w:val="20"/>
              </w:rPr>
              <w:t>INTRODUCTION</w:t>
            </w:r>
          </w:p>
        </w:tc>
      </w:tr>
      <w:tr w:rsidR="00DB4B2C" w:rsidRPr="00410502" w14:paraId="5285DBB4" w14:textId="77777777" w:rsidTr="006B2B65">
        <w:trPr>
          <w:trHeight w:val="530"/>
        </w:trPr>
        <w:tc>
          <w:tcPr>
            <w:tcW w:w="0" w:type="auto"/>
            <w:vAlign w:val="center"/>
          </w:tcPr>
          <w:p w14:paraId="7D22A95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35C70995"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3</w:t>
            </w:r>
          </w:p>
        </w:tc>
        <w:tc>
          <w:tcPr>
            <w:tcW w:w="0" w:type="auto"/>
            <w:vAlign w:val="center"/>
          </w:tcPr>
          <w:p w14:paraId="2FC75B97"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dtPr>
          <w:sdtContent>
            <w:tc>
              <w:tcPr>
                <w:tcW w:w="0" w:type="auto"/>
                <w:vAlign w:val="center"/>
              </w:tcPr>
              <w:p w14:paraId="0E118E1E" w14:textId="2471CCF2" w:rsidR="00DB4B2C" w:rsidRPr="00410502" w:rsidRDefault="006737C3" w:rsidP="006B2B65">
                <w:pPr>
                  <w:rPr>
                    <w:rFonts w:ascii="Arial" w:hAnsi="Arial" w:cs="Arial"/>
                    <w:sz w:val="20"/>
                    <w:szCs w:val="20"/>
                  </w:rPr>
                </w:pPr>
                <w:r>
                  <w:rPr>
                    <w:rFonts w:ascii="Arial" w:hAnsi="Arial" w:cs="Arial"/>
                    <w:sz w:val="20"/>
                    <w:szCs w:val="20"/>
                  </w:rPr>
                  <w:t>Section 2.1, opening paragraph: “To the best of our knowledge, no quantitative, multidimensional instrument currently exists that integrates multiple ethical theories and is specifically designed for the ethical assessment of technologies,” explaining the rationale relative to the Multidimensional Ethics Scale (MES) and prior literature.</w:t>
                </w:r>
              </w:p>
            </w:tc>
          </w:sdtContent>
        </w:sdt>
      </w:tr>
      <w:tr w:rsidR="00DB4B2C" w:rsidRPr="00410502" w14:paraId="78F2CDA1" w14:textId="77777777" w:rsidTr="006B2B65">
        <w:trPr>
          <w:trHeight w:val="800"/>
        </w:trPr>
        <w:tc>
          <w:tcPr>
            <w:tcW w:w="0" w:type="auto"/>
            <w:vAlign w:val="center"/>
          </w:tcPr>
          <w:p w14:paraId="744A7B2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6864780A"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4</w:t>
            </w:r>
          </w:p>
        </w:tc>
        <w:tc>
          <w:tcPr>
            <w:tcW w:w="0" w:type="auto"/>
            <w:vAlign w:val="center"/>
          </w:tcPr>
          <w:p w14:paraId="715DF9DC" w14:textId="77777777" w:rsidR="00DB4B2C" w:rsidRPr="00410502" w:rsidRDefault="00DB4B2C" w:rsidP="006B2B65">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dtPr>
          <w:sdtContent>
            <w:tc>
              <w:tcPr>
                <w:tcW w:w="0" w:type="auto"/>
                <w:vAlign w:val="center"/>
              </w:tcPr>
              <w:p w14:paraId="3D477225" w14:textId="4C0B77C4" w:rsidR="00DB4B2C" w:rsidRPr="00410502" w:rsidRDefault="006737C3" w:rsidP="006B2B65">
                <w:pPr>
                  <w:rPr>
                    <w:rFonts w:ascii="Arial" w:hAnsi="Arial" w:cs="Arial"/>
                    <w:sz w:val="20"/>
                    <w:szCs w:val="20"/>
                  </w:rPr>
                </w:pPr>
                <w:r>
                  <w:rPr>
                    <w:rFonts w:ascii="Arial" w:hAnsi="Arial" w:cs="Arial"/>
                    <w:sz w:val="20"/>
                    <w:szCs w:val="20"/>
                  </w:rPr>
                  <w:t>Section 2.1: “The purpose of our scoping review was therefore threefold: (a) to identify existing ethics scales and their theoretical underpinnings, (b) to extract and synthesize central publications discussing the limitations and extensions of existing scales, and (c) to assess whether ethics scales have previously been applied within the context of technology assessment.”</w:t>
                </w:r>
              </w:p>
            </w:tc>
          </w:sdtContent>
        </w:sdt>
      </w:tr>
      <w:tr w:rsidR="00DB4B2C" w:rsidRPr="00410502" w14:paraId="242C5AD0" w14:textId="77777777" w:rsidTr="006B2B65">
        <w:tc>
          <w:tcPr>
            <w:tcW w:w="0" w:type="auto"/>
            <w:gridSpan w:val="4"/>
            <w:shd w:val="clear" w:color="auto" w:fill="CEDEEF" w:themeFill="accent1" w:themeFillTint="33"/>
            <w:vAlign w:val="center"/>
          </w:tcPr>
          <w:p w14:paraId="15C791AD" w14:textId="77777777" w:rsidR="00DB4B2C" w:rsidRPr="00410502" w:rsidRDefault="00DB4B2C" w:rsidP="006B2B65">
            <w:pPr>
              <w:rPr>
                <w:rFonts w:ascii="Arial" w:hAnsi="Arial" w:cs="Arial"/>
                <w:b/>
                <w:sz w:val="20"/>
                <w:szCs w:val="20"/>
              </w:rPr>
            </w:pPr>
            <w:r w:rsidRPr="00410502">
              <w:rPr>
                <w:rFonts w:ascii="Arial" w:hAnsi="Arial" w:cs="Arial"/>
                <w:b/>
                <w:sz w:val="20"/>
                <w:szCs w:val="20"/>
              </w:rPr>
              <w:t>METHODS</w:t>
            </w:r>
          </w:p>
        </w:tc>
      </w:tr>
      <w:tr w:rsidR="00DB4B2C" w:rsidRPr="00410502" w14:paraId="6C798A00" w14:textId="77777777" w:rsidTr="006B2B65">
        <w:tc>
          <w:tcPr>
            <w:tcW w:w="0" w:type="auto"/>
            <w:vAlign w:val="center"/>
          </w:tcPr>
          <w:p w14:paraId="54A4A38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4B22FE5C"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5</w:t>
            </w:r>
          </w:p>
        </w:tc>
        <w:tc>
          <w:tcPr>
            <w:tcW w:w="0" w:type="auto"/>
            <w:vAlign w:val="center"/>
          </w:tcPr>
          <w:p w14:paraId="1884FAB9" w14:textId="77777777" w:rsidR="00DB4B2C" w:rsidRPr="00410502" w:rsidRDefault="00DB4B2C" w:rsidP="006B2B65">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DefaultPlaceholder_1082065158"/>
            </w:placeholder>
          </w:sdtPr>
          <w:sdtContent>
            <w:tc>
              <w:tcPr>
                <w:tcW w:w="0" w:type="auto"/>
                <w:vAlign w:val="center"/>
              </w:tcPr>
              <w:p w14:paraId="409342E1" w14:textId="2C1B2C1A" w:rsidR="00DB4B2C" w:rsidRPr="00410502" w:rsidRDefault="006737C3" w:rsidP="006B2B65">
                <w:pPr>
                  <w:rPr>
                    <w:rFonts w:ascii="Arial" w:hAnsi="Arial" w:cs="Arial"/>
                    <w:sz w:val="20"/>
                    <w:szCs w:val="20"/>
                  </w:rPr>
                </w:pPr>
                <w:r>
                  <w:rPr>
                    <w:rFonts w:ascii="Arial" w:hAnsi="Arial" w:cs="Arial"/>
                    <w:sz w:val="20"/>
                    <w:szCs w:val="20"/>
                  </w:rPr>
                  <w:t>No study-specific protocol was registered (e.g., PROSPERO or OSF). The review followed the JBI methodology guidelines for scoping reviews (Tricco et al., 2018), as stated in Section 2.1.</w:t>
                </w:r>
              </w:p>
            </w:tc>
          </w:sdtContent>
        </w:sdt>
      </w:tr>
      <w:tr w:rsidR="00DB4B2C" w:rsidRPr="00410502" w14:paraId="11E3B031" w14:textId="77777777" w:rsidTr="006B2B65">
        <w:tc>
          <w:tcPr>
            <w:tcW w:w="0" w:type="auto"/>
            <w:vAlign w:val="center"/>
          </w:tcPr>
          <w:p w14:paraId="0DB02128"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38F4B873"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6</w:t>
            </w:r>
          </w:p>
        </w:tc>
        <w:tc>
          <w:tcPr>
            <w:tcW w:w="0" w:type="auto"/>
            <w:vAlign w:val="center"/>
          </w:tcPr>
          <w:p w14:paraId="1F54E11B"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DefaultPlaceholder_1082065158"/>
            </w:placeholder>
          </w:sdtPr>
          <w:sdtContent>
            <w:tc>
              <w:tcPr>
                <w:tcW w:w="0" w:type="auto"/>
                <w:vAlign w:val="center"/>
              </w:tcPr>
              <w:p w14:paraId="164C8DAC" w14:textId="160C460A" w:rsidR="00DB4B2C" w:rsidRPr="00410502" w:rsidRDefault="006737C3" w:rsidP="006B2B65">
                <w:pPr>
                  <w:rPr>
                    <w:rFonts w:ascii="Arial" w:hAnsi="Arial" w:cs="Arial"/>
                    <w:sz w:val="20"/>
                    <w:szCs w:val="20"/>
                  </w:rPr>
                </w:pPr>
                <w:r>
                  <w:rPr>
                    <w:rFonts w:ascii="Arial" w:hAnsi="Arial" w:cs="Arial"/>
                    <w:sz w:val="20"/>
                    <w:szCs w:val="20"/>
                  </w:rPr>
                  <w:t xml:space="preserve">Section 2.1, “Eligibility criteria,” and Table 1 (inclusion/exclusion criteria): citation-anchored to Reidenbach and Robin (1990), English-language sources, 1990 through March 2022, journal articles plus grey literature (e.g., conference abstracts, blogs); rationale </w:t>
                </w:r>
                <w:r>
                  <w:rPr>
                    <w:rFonts w:ascii="Arial" w:hAnsi="Arial" w:cs="Arial"/>
                    <w:sz w:val="20"/>
                    <w:szCs w:val="20"/>
                  </w:rPr>
                  <w:lastRenderedPageBreak/>
                  <w:t>given for the citation-anchored, MES-focused scope.</w:t>
                </w:r>
              </w:p>
            </w:tc>
          </w:sdtContent>
        </w:sdt>
      </w:tr>
      <w:tr w:rsidR="00DB4B2C" w:rsidRPr="00410502" w14:paraId="47019F35" w14:textId="77777777" w:rsidTr="006B2B65">
        <w:trPr>
          <w:trHeight w:val="260"/>
        </w:trPr>
        <w:tc>
          <w:tcPr>
            <w:tcW w:w="0" w:type="auto"/>
            <w:vAlign w:val="center"/>
          </w:tcPr>
          <w:p w14:paraId="66EAFDD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lastRenderedPageBreak/>
              <w:t>Information sources</w:t>
            </w:r>
            <w:r>
              <w:rPr>
                <w:rFonts w:ascii="Arial" w:hAnsi="Arial" w:cs="Arial"/>
                <w:sz w:val="20"/>
                <w:szCs w:val="20"/>
              </w:rPr>
              <w:t>*</w:t>
            </w:r>
          </w:p>
        </w:tc>
        <w:tc>
          <w:tcPr>
            <w:tcW w:w="0" w:type="auto"/>
            <w:vAlign w:val="center"/>
          </w:tcPr>
          <w:p w14:paraId="6018601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7</w:t>
            </w:r>
          </w:p>
        </w:tc>
        <w:tc>
          <w:tcPr>
            <w:tcW w:w="0" w:type="auto"/>
            <w:vAlign w:val="center"/>
          </w:tcPr>
          <w:p w14:paraId="222A52E8" w14:textId="77777777" w:rsidR="00DB4B2C" w:rsidRPr="00410502" w:rsidRDefault="00DB4B2C" w:rsidP="006B2B65">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dtPr>
          <w:sdtContent>
            <w:tc>
              <w:tcPr>
                <w:tcW w:w="0" w:type="auto"/>
                <w:vAlign w:val="center"/>
              </w:tcPr>
              <w:p w14:paraId="4CBB42E1" w14:textId="7D7FDB92" w:rsidR="00DB4B2C" w:rsidRPr="00410502" w:rsidRDefault="006737C3" w:rsidP="006B2B65">
                <w:pPr>
                  <w:rPr>
                    <w:rFonts w:ascii="Arial" w:hAnsi="Arial" w:cs="Arial"/>
                    <w:sz w:val="20"/>
                    <w:szCs w:val="20"/>
                  </w:rPr>
                </w:pPr>
                <w:r>
                  <w:rPr>
                    <w:rFonts w:ascii="Arial" w:hAnsi="Arial" w:cs="Arial"/>
                    <w:sz w:val="20"/>
                    <w:szCs w:val="20"/>
                  </w:rPr>
                  <w:t>Section 2.1, “Search strategy”: Google Scholar and Web of Science. Coverage extends through March 2022 (date of the most recent included article); the exact date the search was executed is not separately reported.</w:t>
                </w:r>
              </w:p>
            </w:tc>
          </w:sdtContent>
        </w:sdt>
      </w:tr>
      <w:tr w:rsidR="00DB4B2C" w:rsidRPr="00410502" w14:paraId="478B5682" w14:textId="77777777" w:rsidTr="006B2B65">
        <w:tc>
          <w:tcPr>
            <w:tcW w:w="0" w:type="auto"/>
            <w:vAlign w:val="center"/>
          </w:tcPr>
          <w:p w14:paraId="24459C8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1D93C76F"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8</w:t>
            </w:r>
          </w:p>
        </w:tc>
        <w:tc>
          <w:tcPr>
            <w:tcW w:w="0" w:type="auto"/>
            <w:vAlign w:val="center"/>
          </w:tcPr>
          <w:p w14:paraId="4956AA9E" w14:textId="77777777" w:rsidR="00DB4B2C" w:rsidRPr="00410502" w:rsidRDefault="00DB4B2C" w:rsidP="006B2B65">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dtPr>
          <w:sdtContent>
            <w:tc>
              <w:tcPr>
                <w:tcW w:w="0" w:type="auto"/>
                <w:vAlign w:val="center"/>
              </w:tcPr>
              <w:p w14:paraId="1CDC3935" w14:textId="08C765AF" w:rsidR="00DB4B2C" w:rsidRPr="00410502" w:rsidRDefault="006737C3" w:rsidP="006B2B65">
                <w:pPr>
                  <w:rPr>
                    <w:rFonts w:ascii="Arial" w:hAnsi="Arial" w:cs="Arial"/>
                    <w:sz w:val="20"/>
                    <w:szCs w:val="20"/>
                  </w:rPr>
                </w:pPr>
                <w:r>
                  <w:rPr>
                    <w:rFonts w:ascii="Arial" w:hAnsi="Arial" w:cs="Arial"/>
                    <w:sz w:val="20"/>
                    <w:szCs w:val="20"/>
                  </w:rPr>
                  <w:t>Section 2.1, “Search strategy”: citation search for Reidenbach and Robin (1990) in Google Scholar and Web of Science; Google Scholar records were limited to those containing (“review” OR “meta analysis”) AND “model”; supplemented by backward reference searching. The full literature database is available in the “Scoping Review/database raw data” folder of the public repository.</w:t>
                </w:r>
              </w:p>
            </w:tc>
          </w:sdtContent>
        </w:sdt>
      </w:tr>
      <w:tr w:rsidR="00DB4B2C" w:rsidRPr="00410502" w14:paraId="3E32FE05" w14:textId="77777777" w:rsidTr="006B2B65">
        <w:tc>
          <w:tcPr>
            <w:tcW w:w="0" w:type="auto"/>
            <w:vAlign w:val="center"/>
          </w:tcPr>
          <w:p w14:paraId="4782922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772E4666"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9</w:t>
            </w:r>
          </w:p>
        </w:tc>
        <w:tc>
          <w:tcPr>
            <w:tcW w:w="0" w:type="auto"/>
            <w:vAlign w:val="center"/>
          </w:tcPr>
          <w:p w14:paraId="454F9B89" w14:textId="77777777" w:rsidR="00DB4B2C" w:rsidRPr="00410502" w:rsidRDefault="00DB4B2C" w:rsidP="006B2B65">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dtPr>
          <w:sdtContent>
            <w:tc>
              <w:tcPr>
                <w:tcW w:w="0" w:type="auto"/>
                <w:vAlign w:val="center"/>
              </w:tcPr>
              <w:p w14:paraId="1A0EA094" w14:textId="5459D75C" w:rsidR="00DB4B2C" w:rsidRPr="00410502" w:rsidRDefault="006737C3" w:rsidP="006B2B65">
                <w:pPr>
                  <w:rPr>
                    <w:rFonts w:ascii="Arial" w:hAnsi="Arial" w:cs="Arial"/>
                    <w:sz w:val="20"/>
                    <w:szCs w:val="20"/>
                  </w:rPr>
                </w:pPr>
                <w:r>
                  <w:rPr>
                    <w:rFonts w:ascii="Arial" w:hAnsi="Arial" w:cs="Arial"/>
                    <w:sz w:val="20"/>
                    <w:szCs w:val="20"/>
                  </w:rPr>
                  <w:t>Section 2.1, “Study selection process”: a three-phase process (identification and deduplication; title/abstract/partial full-text screening; full-text-based inclusion into four categories), with the first two phases conducted in Rayyan (Ouzzani et al., 2016).</w:t>
                </w:r>
              </w:p>
            </w:tc>
          </w:sdtContent>
        </w:sdt>
      </w:tr>
      <w:tr w:rsidR="00DB4B2C" w:rsidRPr="00410502" w14:paraId="5477464C" w14:textId="77777777" w:rsidTr="006B2B65">
        <w:tc>
          <w:tcPr>
            <w:tcW w:w="0" w:type="auto"/>
            <w:vAlign w:val="center"/>
          </w:tcPr>
          <w:p w14:paraId="4547DEC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7139834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10</w:t>
            </w:r>
          </w:p>
        </w:tc>
        <w:tc>
          <w:tcPr>
            <w:tcW w:w="0" w:type="auto"/>
            <w:vAlign w:val="center"/>
          </w:tcPr>
          <w:p w14:paraId="466D3918"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DefaultPlaceholder_1082065158"/>
            </w:placeholder>
          </w:sdtPr>
          <w:sdtContent>
            <w:tc>
              <w:tcPr>
                <w:tcW w:w="0" w:type="auto"/>
                <w:vAlign w:val="center"/>
              </w:tcPr>
              <w:p w14:paraId="67341785" w14:textId="3F9E5E76" w:rsidR="00DB4B2C" w:rsidRPr="00410502" w:rsidRDefault="006737C3" w:rsidP="006B2B65">
                <w:pPr>
                  <w:rPr>
                    <w:rFonts w:ascii="Arial" w:hAnsi="Arial" w:cs="Arial"/>
                    <w:sz w:val="20"/>
                    <w:szCs w:val="20"/>
                  </w:rPr>
                </w:pPr>
                <w:r>
                  <w:rPr>
                    <w:rFonts w:ascii="Arial" w:hAnsi="Arial" w:cs="Arial"/>
                    <w:sz w:val="20"/>
                    <w:szCs w:val="20"/>
                  </w:rPr>
                  <w:t>Section 2.1, “Data extraction and data synthesis”: year of publication, central arguments, relation to the Multidimensional Ethics Scale, and publication type were extracted per article (Appendix, “Sources of evidence” table).</w:t>
                </w:r>
              </w:p>
            </w:tc>
          </w:sdtContent>
        </w:sdt>
      </w:tr>
      <w:tr w:rsidR="00DB4B2C" w:rsidRPr="00410502" w14:paraId="3E017428" w14:textId="77777777" w:rsidTr="006B2B65">
        <w:trPr>
          <w:trHeight w:val="260"/>
        </w:trPr>
        <w:tc>
          <w:tcPr>
            <w:tcW w:w="0" w:type="auto"/>
            <w:vAlign w:val="center"/>
          </w:tcPr>
          <w:p w14:paraId="7ED0AA8C"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262BAE0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11</w:t>
            </w:r>
          </w:p>
        </w:tc>
        <w:tc>
          <w:tcPr>
            <w:tcW w:w="0" w:type="auto"/>
            <w:vAlign w:val="center"/>
          </w:tcPr>
          <w:p w14:paraId="74BF1A7A" w14:textId="77777777" w:rsidR="00DB4B2C" w:rsidRPr="00410502" w:rsidRDefault="00DB4B2C" w:rsidP="006B2B65">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dtPr>
          <w:sdtContent>
            <w:tc>
              <w:tcPr>
                <w:tcW w:w="0" w:type="auto"/>
                <w:vAlign w:val="center"/>
              </w:tcPr>
              <w:p w14:paraId="6267AA69" w14:textId="04CC8794" w:rsidR="00DB4B2C" w:rsidRPr="00410502" w:rsidRDefault="006737C3" w:rsidP="006B2B65">
                <w:pPr>
                  <w:rPr>
                    <w:rFonts w:ascii="Arial" w:hAnsi="Arial" w:cs="Arial"/>
                    <w:sz w:val="20"/>
                    <w:szCs w:val="20"/>
                  </w:rPr>
                </w:pPr>
                <w:r>
                  <w:rPr>
                    <w:rFonts w:ascii="Arial" w:hAnsi="Arial" w:cs="Arial"/>
                    <w:sz w:val="20"/>
                    <w:szCs w:val="20"/>
                  </w:rPr>
                  <w:t>Year of publication, central arguments for the development of ESTA, relation to the “Multidimensional Ethics Scale,” and publication type (Section 2.1; Appendix, “Sources of evidence” table).</w:t>
                </w:r>
              </w:p>
            </w:tc>
          </w:sdtContent>
        </w:sdt>
      </w:tr>
      <w:tr w:rsidR="00DB4B2C" w:rsidRPr="00410502" w14:paraId="60B1BE1F" w14:textId="77777777" w:rsidTr="006B2B65">
        <w:tc>
          <w:tcPr>
            <w:tcW w:w="0" w:type="auto"/>
            <w:vAlign w:val="center"/>
          </w:tcPr>
          <w:p w14:paraId="58D1FF97"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B4734A0"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5BA9FC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dtPr>
          <w:sdtContent>
            <w:tc>
              <w:tcPr>
                <w:tcW w:w="0" w:type="auto"/>
                <w:vAlign w:val="center"/>
              </w:tcPr>
              <w:p w14:paraId="238FDA2D" w14:textId="624B4734" w:rsidR="00DB4B2C" w:rsidRPr="00410502" w:rsidRDefault="006737C3" w:rsidP="006B2B65">
                <w:pPr>
                  <w:rPr>
                    <w:rFonts w:ascii="Arial" w:hAnsi="Arial" w:cs="Arial"/>
                    <w:sz w:val="20"/>
                    <w:szCs w:val="20"/>
                  </w:rPr>
                </w:pPr>
                <w:r>
                  <w:rPr>
                    <w:rFonts w:ascii="Arial" w:hAnsi="Arial" w:cs="Arial"/>
                    <w:sz w:val="20"/>
                    <w:szCs w:val="20"/>
                  </w:rPr>
                  <w:t>Not conducted. A formal critical appraisal (e.g., risk-of-bias assessment) of included sources was not performed, consistent with PRISMA-ScR guidance that this is optional for scoping reviews given their descriptive-mapping purpose.</w:t>
                </w:r>
              </w:p>
            </w:tc>
          </w:sdtContent>
        </w:sdt>
      </w:tr>
      <w:tr w:rsidR="00DB4B2C" w:rsidRPr="00410502" w14:paraId="412AD199" w14:textId="77777777" w:rsidTr="006B2B65">
        <w:tc>
          <w:tcPr>
            <w:tcW w:w="0" w:type="auto"/>
            <w:vAlign w:val="center"/>
          </w:tcPr>
          <w:p w14:paraId="62A337D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2AA18CD2" w14:textId="20F42FF1" w:rsidR="00DB4B2C" w:rsidRPr="00410502" w:rsidRDefault="00347431" w:rsidP="006B2B65">
            <w:pPr>
              <w:jc w:val="center"/>
              <w:rPr>
                <w:rFonts w:ascii="Arial" w:hAnsi="Arial" w:cs="Arial"/>
                <w:sz w:val="20"/>
                <w:szCs w:val="20"/>
              </w:rPr>
            </w:pPr>
            <w:r>
              <w:rPr>
                <w:rFonts w:ascii="Arial" w:hAnsi="Arial" w:cs="Arial"/>
                <w:sz w:val="20"/>
                <w:szCs w:val="20"/>
              </w:rPr>
              <w:t>13</w:t>
            </w:r>
          </w:p>
        </w:tc>
        <w:tc>
          <w:tcPr>
            <w:tcW w:w="0" w:type="auto"/>
            <w:vAlign w:val="center"/>
          </w:tcPr>
          <w:p w14:paraId="12A40EBC"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dtPr>
          <w:sdtContent>
            <w:tc>
              <w:tcPr>
                <w:tcW w:w="0" w:type="auto"/>
                <w:vAlign w:val="center"/>
              </w:tcPr>
              <w:p w14:paraId="3AD60FD9" w14:textId="233A2684" w:rsidR="00DB4B2C" w:rsidRPr="00410502" w:rsidRDefault="006737C3" w:rsidP="006B2B65">
                <w:pPr>
                  <w:rPr>
                    <w:rFonts w:ascii="Arial" w:hAnsi="Arial" w:cs="Arial"/>
                    <w:sz w:val="20"/>
                    <w:szCs w:val="20"/>
                  </w:rPr>
                </w:pPr>
                <w:r>
                  <w:rPr>
                    <w:rFonts w:ascii="Arial" w:hAnsi="Arial" w:cs="Arial"/>
                    <w:sz w:val="20"/>
                    <w:szCs w:val="20"/>
                  </w:rPr>
                  <w:t xml:space="preserve">Section 2.1, “Findings of included studies” (Results): narrative synthesis of the extracted data, organized into four categories (Overview, Multidimensional Ethics Scale, Further Scales, </w:t>
                </w:r>
                <w:r>
                  <w:rPr>
                    <w:rFonts w:ascii="Arial" w:hAnsi="Arial" w:cs="Arial"/>
                    <w:sz w:val="20"/>
                    <w:szCs w:val="20"/>
                  </w:rPr>
                  <w:lastRenderedPageBreak/>
                  <w:t>Application) and their sub-categories; full categorization in the Appendix “Sources of evidence” table.</w:t>
                </w:r>
              </w:p>
            </w:tc>
          </w:sdtContent>
        </w:sdt>
      </w:tr>
      <w:tr w:rsidR="00DB4B2C" w:rsidRPr="00410502" w14:paraId="42D51398" w14:textId="77777777" w:rsidTr="006B2B65">
        <w:tc>
          <w:tcPr>
            <w:tcW w:w="0" w:type="auto"/>
            <w:gridSpan w:val="4"/>
            <w:shd w:val="clear" w:color="auto" w:fill="CEDEEF" w:themeFill="accent1" w:themeFillTint="33"/>
            <w:vAlign w:val="center"/>
          </w:tcPr>
          <w:p w14:paraId="25FF00F9" w14:textId="77777777" w:rsidR="00DB4B2C" w:rsidRPr="00410502" w:rsidRDefault="00DB4B2C" w:rsidP="006B2B65">
            <w:pPr>
              <w:rPr>
                <w:rFonts w:ascii="Arial" w:hAnsi="Arial" w:cs="Arial"/>
                <w:b/>
                <w:sz w:val="20"/>
                <w:szCs w:val="20"/>
              </w:rPr>
            </w:pPr>
            <w:r w:rsidRPr="00410502">
              <w:rPr>
                <w:rFonts w:ascii="Arial" w:hAnsi="Arial" w:cs="Arial"/>
                <w:b/>
                <w:sz w:val="20"/>
                <w:szCs w:val="20"/>
              </w:rPr>
              <w:lastRenderedPageBreak/>
              <w:t>RESULTS</w:t>
            </w:r>
          </w:p>
        </w:tc>
      </w:tr>
      <w:tr w:rsidR="00DB4B2C" w:rsidRPr="00410502" w14:paraId="2262BCB7" w14:textId="77777777" w:rsidTr="006B2B65">
        <w:tc>
          <w:tcPr>
            <w:tcW w:w="0" w:type="auto"/>
            <w:vAlign w:val="center"/>
          </w:tcPr>
          <w:p w14:paraId="035D7E7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34C989AD" w14:textId="52DFEA2B" w:rsidR="00DB4B2C" w:rsidRPr="00410502" w:rsidRDefault="00347431" w:rsidP="006B2B65">
            <w:pPr>
              <w:jc w:val="center"/>
              <w:rPr>
                <w:rFonts w:ascii="Arial" w:hAnsi="Arial" w:cs="Arial"/>
                <w:sz w:val="20"/>
                <w:szCs w:val="20"/>
              </w:rPr>
            </w:pPr>
            <w:r>
              <w:rPr>
                <w:rFonts w:ascii="Arial" w:hAnsi="Arial" w:cs="Arial"/>
                <w:sz w:val="20"/>
                <w:szCs w:val="20"/>
              </w:rPr>
              <w:t>14</w:t>
            </w:r>
          </w:p>
        </w:tc>
        <w:tc>
          <w:tcPr>
            <w:tcW w:w="0" w:type="auto"/>
            <w:vAlign w:val="center"/>
          </w:tcPr>
          <w:p w14:paraId="32B381A6" w14:textId="77777777" w:rsidR="00DB4B2C" w:rsidRPr="00410502" w:rsidRDefault="00DB4B2C" w:rsidP="006B2B65">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dtPr>
          <w:sdtContent>
            <w:tc>
              <w:tcPr>
                <w:tcW w:w="0" w:type="auto"/>
                <w:vAlign w:val="center"/>
              </w:tcPr>
              <w:p w14:paraId="2B8181F1" w14:textId="1D556319" w:rsidR="00DB4B2C" w:rsidRPr="00410502" w:rsidRDefault="006737C3" w:rsidP="006B2B65">
                <w:pPr>
                  <w:rPr>
                    <w:rFonts w:ascii="Arial" w:hAnsi="Arial" w:cs="Arial"/>
                    <w:sz w:val="20"/>
                    <w:szCs w:val="20"/>
                  </w:rPr>
                </w:pPr>
                <w:r>
                  <w:rPr>
                    <w:rFonts w:ascii="Arial" w:hAnsi="Arial" w:cs="Arial"/>
                    <w:sz w:val="20"/>
                    <w:szCs w:val="20"/>
                  </w:rPr>
                  <w:t>Section 2.1, “Search findings”: 906 records retrieved from the two databases; 325 duplicates removed; titles and abstracts screened; 80 articles full-text screened (76 database-identified plus 4 via backward reference searching); 40 studies included. Flow diagram: PRISMA-ScR flow chart figure in Section 2.1.</w:t>
                </w:r>
              </w:p>
            </w:tc>
          </w:sdtContent>
        </w:sdt>
      </w:tr>
      <w:tr w:rsidR="00DB4B2C" w:rsidRPr="00410502" w14:paraId="28916F26" w14:textId="77777777" w:rsidTr="006B2B65">
        <w:tc>
          <w:tcPr>
            <w:tcW w:w="0" w:type="auto"/>
            <w:vAlign w:val="center"/>
          </w:tcPr>
          <w:p w14:paraId="40EE7AD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Characteristics of sources of evidence</w:t>
            </w:r>
          </w:p>
        </w:tc>
        <w:tc>
          <w:tcPr>
            <w:tcW w:w="0" w:type="auto"/>
            <w:vAlign w:val="center"/>
          </w:tcPr>
          <w:p w14:paraId="17EC6DF1" w14:textId="7327679B" w:rsidR="00DB4B2C" w:rsidRPr="00410502" w:rsidRDefault="00347431" w:rsidP="006B2B65">
            <w:pPr>
              <w:jc w:val="center"/>
              <w:rPr>
                <w:rFonts w:ascii="Arial" w:hAnsi="Arial" w:cs="Arial"/>
                <w:sz w:val="20"/>
                <w:szCs w:val="20"/>
              </w:rPr>
            </w:pPr>
            <w:r>
              <w:rPr>
                <w:rFonts w:ascii="Arial" w:hAnsi="Arial" w:cs="Arial"/>
                <w:sz w:val="20"/>
                <w:szCs w:val="20"/>
              </w:rPr>
              <w:t>15</w:t>
            </w:r>
          </w:p>
        </w:tc>
        <w:tc>
          <w:tcPr>
            <w:tcW w:w="0" w:type="auto"/>
            <w:vAlign w:val="center"/>
          </w:tcPr>
          <w:p w14:paraId="6442817A" w14:textId="77777777" w:rsidR="00DB4B2C" w:rsidRPr="00410502" w:rsidRDefault="00DB4B2C" w:rsidP="006B2B65">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dtPr>
          <w:sdtContent>
            <w:tc>
              <w:tcPr>
                <w:tcW w:w="0" w:type="auto"/>
                <w:vAlign w:val="center"/>
              </w:tcPr>
              <w:p w14:paraId="666E17BC" w14:textId="5C02ADA3" w:rsidR="00DB4B2C" w:rsidRPr="00410502" w:rsidRDefault="006737C3" w:rsidP="006B2B65">
                <w:pPr>
                  <w:rPr>
                    <w:rFonts w:ascii="Arial" w:hAnsi="Arial" w:cs="Arial"/>
                    <w:sz w:val="20"/>
                    <w:szCs w:val="20"/>
                  </w:rPr>
                </w:pPr>
                <w:r>
                  <w:rPr>
                    <w:rFonts w:ascii="Arial" w:hAnsi="Arial" w:cs="Arial"/>
                    <w:sz w:val="20"/>
                    <w:szCs w:val="20"/>
                  </w:rPr>
                  <w:t>Appendix, “Sources of evidence” table: category, subcategory, citation, and central arguments/relation to the MES for each of the 40 included studies.</w:t>
                </w:r>
              </w:p>
            </w:tc>
          </w:sdtContent>
        </w:sdt>
      </w:tr>
      <w:tr w:rsidR="00DB4B2C" w:rsidRPr="00410502" w14:paraId="7AC575E8" w14:textId="77777777" w:rsidTr="006B2B65">
        <w:tc>
          <w:tcPr>
            <w:tcW w:w="0" w:type="auto"/>
            <w:vAlign w:val="center"/>
          </w:tcPr>
          <w:p w14:paraId="6E61D53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3A3D01E9" w14:textId="49BEAC67" w:rsidR="00DB4B2C" w:rsidRPr="00410502" w:rsidRDefault="00347431" w:rsidP="006B2B65">
            <w:pPr>
              <w:jc w:val="center"/>
              <w:rPr>
                <w:rFonts w:ascii="Arial" w:hAnsi="Arial" w:cs="Arial"/>
                <w:sz w:val="20"/>
                <w:szCs w:val="20"/>
              </w:rPr>
            </w:pPr>
            <w:r>
              <w:rPr>
                <w:rFonts w:ascii="Arial" w:hAnsi="Arial" w:cs="Arial"/>
                <w:sz w:val="20"/>
                <w:szCs w:val="20"/>
              </w:rPr>
              <w:t>16</w:t>
            </w:r>
          </w:p>
        </w:tc>
        <w:tc>
          <w:tcPr>
            <w:tcW w:w="0" w:type="auto"/>
            <w:vAlign w:val="center"/>
          </w:tcPr>
          <w:p w14:paraId="517F0F3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dtPr>
          <w:sdtContent>
            <w:tc>
              <w:tcPr>
                <w:tcW w:w="0" w:type="auto"/>
                <w:vAlign w:val="center"/>
              </w:tcPr>
              <w:p w14:paraId="12770347" w14:textId="5975DBCF" w:rsidR="00DB4B2C" w:rsidRPr="00410502" w:rsidRDefault="006737C3" w:rsidP="006B2B65">
                <w:pPr>
                  <w:rPr>
                    <w:rFonts w:ascii="Arial" w:hAnsi="Arial" w:cs="Arial"/>
                    <w:sz w:val="20"/>
                    <w:szCs w:val="20"/>
                  </w:rPr>
                </w:pPr>
                <w:r>
                  <w:rPr>
                    <w:rFonts w:ascii="Arial" w:hAnsi="Arial" w:cs="Arial"/>
                    <w:sz w:val="20"/>
                    <w:szCs w:val="20"/>
                  </w:rPr>
                  <w:t>Not applicable — no critical appraisal was conducted (see item 12).</w:t>
                </w:r>
              </w:p>
            </w:tc>
          </w:sdtContent>
        </w:sdt>
      </w:tr>
      <w:tr w:rsidR="00DB4B2C" w:rsidRPr="00410502" w14:paraId="53C25F57" w14:textId="77777777" w:rsidTr="006B2B65">
        <w:tc>
          <w:tcPr>
            <w:tcW w:w="0" w:type="auto"/>
            <w:vAlign w:val="center"/>
          </w:tcPr>
          <w:p w14:paraId="0449518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0BCA42E7" w14:textId="32E8D871" w:rsidR="00DB4B2C" w:rsidRPr="00410502" w:rsidRDefault="00347431" w:rsidP="006B2B65">
            <w:pPr>
              <w:jc w:val="center"/>
              <w:rPr>
                <w:rFonts w:ascii="Arial" w:hAnsi="Arial" w:cs="Arial"/>
                <w:sz w:val="20"/>
                <w:szCs w:val="20"/>
              </w:rPr>
            </w:pPr>
            <w:r>
              <w:rPr>
                <w:rFonts w:ascii="Arial" w:hAnsi="Arial" w:cs="Arial"/>
                <w:sz w:val="20"/>
                <w:szCs w:val="20"/>
              </w:rPr>
              <w:t>17</w:t>
            </w:r>
          </w:p>
        </w:tc>
        <w:tc>
          <w:tcPr>
            <w:tcW w:w="0" w:type="auto"/>
            <w:vAlign w:val="center"/>
          </w:tcPr>
          <w:p w14:paraId="69753FA1" w14:textId="26D07FD0" w:rsidR="00DB4B2C" w:rsidRPr="00410502" w:rsidRDefault="00DB4B2C" w:rsidP="006B2B65">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sidR="00866B8D">
              <w:rPr>
                <w:rFonts w:ascii="Arial" w:hAnsi="Arial" w:cs="Arial"/>
                <w:sz w:val="20"/>
                <w:szCs w:val="20"/>
              </w:rPr>
              <w:t xml:space="preserve">charted </w:t>
            </w:r>
            <w:r w:rsidR="00866B8D" w:rsidRPr="00410502">
              <w:rPr>
                <w:rFonts w:ascii="Arial" w:hAnsi="Arial" w:cs="Arial"/>
                <w:sz w:val="20"/>
                <w:szCs w:val="20"/>
              </w:rPr>
              <w:t>that</w:t>
            </w:r>
            <w:r w:rsidRPr="00410502">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dtPr>
          <w:sdtContent>
            <w:tc>
              <w:tcPr>
                <w:tcW w:w="0" w:type="auto"/>
                <w:vAlign w:val="center"/>
              </w:tcPr>
              <w:p w14:paraId="5216E7AB" w14:textId="75C07822" w:rsidR="00DB4B2C" w:rsidRPr="00410502" w:rsidRDefault="006737C3" w:rsidP="006B2B65">
                <w:pPr>
                  <w:rPr>
                    <w:rFonts w:ascii="Arial" w:hAnsi="Arial" w:cs="Arial"/>
                    <w:sz w:val="20"/>
                    <w:szCs w:val="20"/>
                  </w:rPr>
                </w:pPr>
                <w:r>
                  <w:rPr>
                    <w:rFonts w:ascii="Arial" w:hAnsi="Arial" w:cs="Arial"/>
                    <w:sz w:val="20"/>
                    <w:szCs w:val="20"/>
                  </w:rPr>
                  <w:t>Section 2.1, “Findings of included studies,” and Appendix “Sources of evidence” table present the extracted data (category, central arguments, MES relation) for each included source.</w:t>
                </w:r>
              </w:p>
            </w:tc>
          </w:sdtContent>
        </w:sdt>
      </w:tr>
      <w:tr w:rsidR="00DB4B2C" w:rsidRPr="00410502" w14:paraId="09B95AA3" w14:textId="77777777" w:rsidTr="006B2B65">
        <w:tc>
          <w:tcPr>
            <w:tcW w:w="0" w:type="auto"/>
            <w:vAlign w:val="center"/>
          </w:tcPr>
          <w:p w14:paraId="62D06CB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70E86A38" w14:textId="29C4258B" w:rsidR="00DB4B2C" w:rsidRPr="00410502" w:rsidRDefault="00347431" w:rsidP="006B2B65">
            <w:pPr>
              <w:jc w:val="center"/>
              <w:rPr>
                <w:rFonts w:ascii="Arial" w:hAnsi="Arial" w:cs="Arial"/>
                <w:sz w:val="20"/>
                <w:szCs w:val="20"/>
              </w:rPr>
            </w:pPr>
            <w:r>
              <w:rPr>
                <w:rFonts w:ascii="Arial" w:hAnsi="Arial" w:cs="Arial"/>
                <w:sz w:val="20"/>
                <w:szCs w:val="20"/>
              </w:rPr>
              <w:t>18</w:t>
            </w:r>
          </w:p>
        </w:tc>
        <w:tc>
          <w:tcPr>
            <w:tcW w:w="0" w:type="auto"/>
            <w:vAlign w:val="center"/>
          </w:tcPr>
          <w:p w14:paraId="1F3FE533" w14:textId="77777777" w:rsidR="00DB4B2C" w:rsidRPr="00410502" w:rsidRDefault="00DB4B2C" w:rsidP="006B2B65">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dtPr>
          <w:sdtContent>
            <w:tc>
              <w:tcPr>
                <w:tcW w:w="0" w:type="auto"/>
                <w:vAlign w:val="center"/>
              </w:tcPr>
              <w:p w14:paraId="71489CEE" w14:textId="01494DBD" w:rsidR="00DB4B2C" w:rsidRPr="00410502" w:rsidRDefault="006737C3" w:rsidP="006B2B65">
                <w:pPr>
                  <w:rPr>
                    <w:rFonts w:ascii="Arial" w:hAnsi="Arial" w:cs="Arial"/>
                    <w:sz w:val="20"/>
                    <w:szCs w:val="20"/>
                  </w:rPr>
                </w:pPr>
                <w:r>
                  <w:rPr>
                    <w:rFonts w:ascii="Arial" w:hAnsi="Arial" w:cs="Arial"/>
                    <w:sz w:val="20"/>
                    <w:szCs w:val="20"/>
                  </w:rPr>
                  <w:t>Section 2.1, “Findings of included studies”: narrative synthesis organized by the four categories/sub-categories above, focused on studies relevant to ESTA’s construction; not all identified ethics scales are elaborated on in the main text (full list in the Appendix).</w:t>
                </w:r>
              </w:p>
            </w:tc>
          </w:sdtContent>
        </w:sdt>
      </w:tr>
      <w:tr w:rsidR="00DB4B2C" w:rsidRPr="00410502" w14:paraId="0D8DB132" w14:textId="77777777" w:rsidTr="006B2B65">
        <w:tc>
          <w:tcPr>
            <w:tcW w:w="0" w:type="auto"/>
            <w:gridSpan w:val="4"/>
            <w:shd w:val="clear" w:color="auto" w:fill="CEDEEF" w:themeFill="accent1" w:themeFillTint="33"/>
            <w:vAlign w:val="center"/>
          </w:tcPr>
          <w:p w14:paraId="4B5B6DBC" w14:textId="77777777" w:rsidR="00DB4B2C" w:rsidRPr="00410502" w:rsidRDefault="00DB4B2C" w:rsidP="006B2B65">
            <w:pPr>
              <w:rPr>
                <w:rFonts w:ascii="Arial" w:hAnsi="Arial" w:cs="Arial"/>
                <w:b/>
                <w:sz w:val="20"/>
                <w:szCs w:val="20"/>
              </w:rPr>
            </w:pPr>
            <w:r w:rsidRPr="00410502">
              <w:rPr>
                <w:rFonts w:ascii="Arial" w:hAnsi="Arial" w:cs="Arial"/>
                <w:b/>
                <w:sz w:val="20"/>
                <w:szCs w:val="20"/>
              </w:rPr>
              <w:t>DISCUSSION</w:t>
            </w:r>
          </w:p>
        </w:tc>
      </w:tr>
      <w:tr w:rsidR="00DB4B2C" w:rsidRPr="00410502" w14:paraId="1F64F8DD" w14:textId="77777777" w:rsidTr="006B2B65">
        <w:tc>
          <w:tcPr>
            <w:tcW w:w="0" w:type="auto"/>
            <w:vAlign w:val="center"/>
          </w:tcPr>
          <w:p w14:paraId="0FD3943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2EA0601" w14:textId="64E10BB4" w:rsidR="00DB4B2C" w:rsidRPr="00410502" w:rsidRDefault="00347431" w:rsidP="006B2B65">
            <w:pPr>
              <w:jc w:val="center"/>
              <w:rPr>
                <w:rFonts w:ascii="Arial" w:hAnsi="Arial" w:cs="Arial"/>
                <w:sz w:val="20"/>
                <w:szCs w:val="20"/>
              </w:rPr>
            </w:pPr>
            <w:r>
              <w:rPr>
                <w:rFonts w:ascii="Arial" w:hAnsi="Arial" w:cs="Arial"/>
                <w:sz w:val="20"/>
                <w:szCs w:val="20"/>
              </w:rPr>
              <w:t>19</w:t>
            </w:r>
          </w:p>
        </w:tc>
        <w:tc>
          <w:tcPr>
            <w:tcW w:w="0" w:type="auto"/>
            <w:vAlign w:val="center"/>
          </w:tcPr>
          <w:p w14:paraId="26F53027"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DefaultPlaceholder_1082065158"/>
            </w:placeholder>
          </w:sdtPr>
          <w:sdtContent>
            <w:tc>
              <w:tcPr>
                <w:tcW w:w="0" w:type="auto"/>
                <w:vAlign w:val="center"/>
              </w:tcPr>
              <w:p w14:paraId="27450F34" w14:textId="78206E33" w:rsidR="00DB4B2C" w:rsidRPr="00410502" w:rsidRDefault="006737C3" w:rsidP="006B2B65">
                <w:pPr>
                  <w:rPr>
                    <w:rFonts w:ascii="Arial" w:hAnsi="Arial" w:cs="Arial"/>
                    <w:sz w:val="20"/>
                    <w:szCs w:val="20"/>
                  </w:rPr>
                </w:pPr>
                <w:r>
                  <w:rPr>
                    <w:rFonts w:ascii="Arial" w:hAnsi="Arial" w:cs="Arial"/>
                    <w:sz w:val="20"/>
                    <w:szCs w:val="20"/>
                  </w:rPr>
                  <w:t>The scoping review’s findings are synthesized in Section 2.1 and used directly to motivate ESTA’s theoretical scope in Section 2.2 (“These considerations resulted in an ethics scale that covers deontology, utilitarianism, hedonism, contractualism, and virtue ethics… as well as relativism”). The article does not include a separate Discussion subsection for the scoping review alone, as it is one component of a larger validation study.</w:t>
                </w:r>
              </w:p>
            </w:tc>
          </w:sdtContent>
        </w:sdt>
      </w:tr>
      <w:tr w:rsidR="00DB4B2C" w:rsidRPr="00410502" w14:paraId="312D091A" w14:textId="77777777" w:rsidTr="006B2B65">
        <w:tc>
          <w:tcPr>
            <w:tcW w:w="0" w:type="auto"/>
            <w:vAlign w:val="center"/>
          </w:tcPr>
          <w:p w14:paraId="7FABE7E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0EBD2C0" w14:textId="288AD9CD" w:rsidR="00DB4B2C" w:rsidRPr="00410502" w:rsidRDefault="00347431" w:rsidP="006B2B65">
            <w:pPr>
              <w:jc w:val="center"/>
              <w:rPr>
                <w:rFonts w:ascii="Arial" w:hAnsi="Arial" w:cs="Arial"/>
                <w:sz w:val="20"/>
                <w:szCs w:val="20"/>
              </w:rPr>
            </w:pPr>
            <w:r>
              <w:rPr>
                <w:rFonts w:ascii="Arial" w:hAnsi="Arial" w:cs="Arial"/>
                <w:sz w:val="20"/>
                <w:szCs w:val="20"/>
              </w:rPr>
              <w:t>20</w:t>
            </w:r>
          </w:p>
        </w:tc>
        <w:tc>
          <w:tcPr>
            <w:tcW w:w="0" w:type="auto"/>
            <w:vAlign w:val="center"/>
          </w:tcPr>
          <w:p w14:paraId="7200B6C9" w14:textId="77777777" w:rsidR="00DB4B2C" w:rsidRPr="00410502" w:rsidRDefault="00DB4B2C" w:rsidP="006B2B65">
            <w:pPr>
              <w:rPr>
                <w:rFonts w:ascii="Arial" w:hAnsi="Arial" w:cs="Arial"/>
                <w:b/>
                <w:i/>
                <w:sz w:val="20"/>
                <w:szCs w:val="20"/>
              </w:rPr>
            </w:pPr>
            <w:r w:rsidRPr="00410502">
              <w:rPr>
                <w:rFonts w:ascii="Arial" w:hAnsi="Arial" w:cs="Arial"/>
                <w:sz w:val="20"/>
                <w:szCs w:val="20"/>
              </w:rPr>
              <w:t>Discuss the limitations of the scoping review process.</w:t>
            </w:r>
          </w:p>
        </w:tc>
        <w:sdt>
          <w:sdtPr>
            <w:rPr>
              <w:rFonts w:ascii="Arial" w:hAnsi="Arial" w:cs="Arial"/>
              <w:sz w:val="20"/>
              <w:szCs w:val="20"/>
            </w:rPr>
            <w:id w:val="-1476291050"/>
            <w:placeholder>
              <w:docPart w:val="DefaultPlaceholder_1082065158"/>
            </w:placeholder>
          </w:sdtPr>
          <w:sdtContent>
            <w:tc>
              <w:tcPr>
                <w:tcW w:w="0" w:type="auto"/>
                <w:vAlign w:val="center"/>
              </w:tcPr>
              <w:p w14:paraId="20712F37" w14:textId="0FB77FA9" w:rsidR="00DB4B2C" w:rsidRPr="00410502" w:rsidRDefault="006737C3" w:rsidP="006B2B65">
                <w:pPr>
                  <w:rPr>
                    <w:rFonts w:ascii="Arial" w:hAnsi="Arial" w:cs="Arial"/>
                    <w:sz w:val="20"/>
                    <w:szCs w:val="20"/>
                  </w:rPr>
                </w:pPr>
                <w:r>
                  <w:rPr>
                    <w:rFonts w:ascii="Arial" w:hAnsi="Arial" w:cs="Arial"/>
                    <w:sz w:val="20"/>
                    <w:szCs w:val="20"/>
                  </w:rPr>
                  <w:t xml:space="preserve">Section 2.1, “Eligibility criteria,” explicitly discusses the scope limitation of the citation-anchored search strategy: the review “should be interpreted as a focused mapping of the MES-related psychometric literature rather than an exhaustive review of the broader technology-ethics literature.” Appendix </w:t>
                </w:r>
                <w:r>
                  <w:rPr>
                    <w:rFonts w:ascii="Arial" w:hAnsi="Arial" w:cs="Arial"/>
                    <w:sz w:val="20"/>
                    <w:szCs w:val="20"/>
                  </w:rPr>
                  <w:lastRenderedPageBreak/>
                  <w:t>(extended literature review) further situates this scope against adjacent AI-ethics, trust, and socio-technical literatures.</w:t>
                </w:r>
              </w:p>
            </w:tc>
          </w:sdtContent>
        </w:sdt>
      </w:tr>
      <w:tr w:rsidR="00DB4B2C" w:rsidRPr="00410502" w14:paraId="38993599" w14:textId="77777777" w:rsidTr="006B2B65">
        <w:tc>
          <w:tcPr>
            <w:tcW w:w="0" w:type="auto"/>
            <w:vAlign w:val="center"/>
          </w:tcPr>
          <w:p w14:paraId="27C3062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lastRenderedPageBreak/>
              <w:t>Conclusions</w:t>
            </w:r>
          </w:p>
        </w:tc>
        <w:tc>
          <w:tcPr>
            <w:tcW w:w="0" w:type="auto"/>
            <w:vAlign w:val="center"/>
          </w:tcPr>
          <w:p w14:paraId="7FD012F4" w14:textId="71D2460A" w:rsidR="00DB4B2C" w:rsidRPr="00410502" w:rsidRDefault="00347431" w:rsidP="006B2B65">
            <w:pPr>
              <w:jc w:val="center"/>
              <w:rPr>
                <w:rFonts w:ascii="Arial" w:hAnsi="Arial" w:cs="Arial"/>
                <w:sz w:val="20"/>
                <w:szCs w:val="20"/>
              </w:rPr>
            </w:pPr>
            <w:r>
              <w:rPr>
                <w:rFonts w:ascii="Arial" w:hAnsi="Arial" w:cs="Arial"/>
                <w:sz w:val="20"/>
                <w:szCs w:val="20"/>
              </w:rPr>
              <w:t>21</w:t>
            </w:r>
          </w:p>
        </w:tc>
        <w:tc>
          <w:tcPr>
            <w:tcW w:w="0" w:type="auto"/>
            <w:vAlign w:val="center"/>
          </w:tcPr>
          <w:p w14:paraId="6C742674"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dtPr>
          <w:sdtContent>
            <w:tc>
              <w:tcPr>
                <w:tcW w:w="0" w:type="auto"/>
                <w:vAlign w:val="center"/>
              </w:tcPr>
              <w:p w14:paraId="3EF42E18" w14:textId="1B1E1E55" w:rsidR="00DB4B2C" w:rsidRPr="00410502" w:rsidRDefault="006737C3" w:rsidP="006B2B65">
                <w:pPr>
                  <w:rPr>
                    <w:rFonts w:ascii="Arial" w:hAnsi="Arial" w:cs="Arial"/>
                    <w:sz w:val="20"/>
                    <w:szCs w:val="20"/>
                  </w:rPr>
                </w:pPr>
                <w:r>
                  <w:rPr>
                    <w:rFonts w:ascii="Arial" w:hAnsi="Arial" w:cs="Arial"/>
                    <w:sz w:val="20"/>
                    <w:szCs w:val="20"/>
                  </w:rPr>
                  <w:t>The scoping review’s conclusion is integrated into Section 2.2: it directly motivated the development of a new scale, rather than reuse of the MES, covering six ethical theories and addressing the substantive and statistical critiques of the MES identified in the review.</w:t>
                </w:r>
              </w:p>
            </w:tc>
          </w:sdtContent>
        </w:sdt>
      </w:tr>
      <w:tr w:rsidR="00DB4B2C" w:rsidRPr="00410502" w14:paraId="5A93F120" w14:textId="77777777" w:rsidTr="006B2B65">
        <w:tc>
          <w:tcPr>
            <w:tcW w:w="0" w:type="auto"/>
            <w:gridSpan w:val="4"/>
            <w:shd w:val="clear" w:color="auto" w:fill="CEDEEF" w:themeFill="accent1" w:themeFillTint="33"/>
            <w:vAlign w:val="center"/>
          </w:tcPr>
          <w:p w14:paraId="68A9F11E" w14:textId="77777777" w:rsidR="00DB4B2C" w:rsidRPr="00410502" w:rsidRDefault="00DB4B2C" w:rsidP="006B2B65">
            <w:pPr>
              <w:rPr>
                <w:rFonts w:ascii="Arial" w:hAnsi="Arial" w:cs="Arial"/>
                <w:b/>
                <w:sz w:val="20"/>
                <w:szCs w:val="20"/>
              </w:rPr>
            </w:pPr>
            <w:r w:rsidRPr="00410502">
              <w:rPr>
                <w:rFonts w:ascii="Arial" w:hAnsi="Arial" w:cs="Arial"/>
                <w:b/>
                <w:sz w:val="20"/>
                <w:szCs w:val="20"/>
              </w:rPr>
              <w:t>FUNDING</w:t>
            </w:r>
          </w:p>
        </w:tc>
      </w:tr>
      <w:tr w:rsidR="00DB4B2C" w:rsidRPr="00410502" w14:paraId="637294A5" w14:textId="77777777" w:rsidTr="006B2B65">
        <w:tc>
          <w:tcPr>
            <w:tcW w:w="0" w:type="auto"/>
            <w:vAlign w:val="center"/>
          </w:tcPr>
          <w:p w14:paraId="789641AC"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376256A6" w14:textId="2AD5F328" w:rsidR="00DB4B2C" w:rsidRPr="00410502" w:rsidRDefault="00347431" w:rsidP="006B2B65">
            <w:pPr>
              <w:jc w:val="center"/>
              <w:rPr>
                <w:rFonts w:ascii="Arial" w:hAnsi="Arial" w:cs="Arial"/>
                <w:sz w:val="20"/>
                <w:szCs w:val="20"/>
              </w:rPr>
            </w:pPr>
            <w:r>
              <w:rPr>
                <w:rFonts w:ascii="Arial" w:hAnsi="Arial" w:cs="Arial"/>
                <w:sz w:val="20"/>
                <w:szCs w:val="20"/>
              </w:rPr>
              <w:t>22</w:t>
            </w:r>
          </w:p>
        </w:tc>
        <w:tc>
          <w:tcPr>
            <w:tcW w:w="0" w:type="auto"/>
            <w:vAlign w:val="center"/>
          </w:tcPr>
          <w:p w14:paraId="52A2FF30" w14:textId="77777777" w:rsidR="00DB4B2C" w:rsidRPr="00410502" w:rsidRDefault="00DB4B2C" w:rsidP="006B2B65">
            <w:pPr>
              <w:rPr>
                <w:rFonts w:ascii="Arial" w:hAnsi="Arial" w:cs="Arial"/>
                <w:sz w:val="20"/>
                <w:szCs w:val="20"/>
              </w:rPr>
            </w:pPr>
            <w:r w:rsidRPr="00410502">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DefaultPlaceholder_1082065158"/>
            </w:placeholder>
          </w:sdtPr>
          <w:sdtContent>
            <w:tc>
              <w:tcPr>
                <w:tcW w:w="0" w:type="auto"/>
                <w:vAlign w:val="center"/>
              </w:tcPr>
              <w:p w14:paraId="5224A8F5" w14:textId="6BF6C736" w:rsidR="00DB4B2C" w:rsidRPr="00410502" w:rsidRDefault="006737C3" w:rsidP="006B2B65">
                <w:pPr>
                  <w:rPr>
                    <w:rFonts w:ascii="Arial" w:hAnsi="Arial" w:cs="Arial"/>
                    <w:sz w:val="20"/>
                    <w:szCs w:val="20"/>
                  </w:rPr>
                </w:pPr>
                <w:r>
                  <w:rPr>
                    <w:rFonts w:ascii="Arial" w:hAnsi="Arial" w:cs="Arial"/>
                    <w:sz w:val="20"/>
                    <w:szCs w:val="20"/>
                  </w:rPr>
                  <w:t xml:space="preserve">Deutsche </w:t>
                </w:r>
                <w:proofErr w:type="spellStart"/>
                <w:r>
                  <w:rPr>
                    <w:rFonts w:ascii="Arial" w:hAnsi="Arial" w:cs="Arial"/>
                    <w:sz w:val="20"/>
                    <w:szCs w:val="20"/>
                  </w:rPr>
                  <w:t>Forschungsgemeinschaft</w:t>
                </w:r>
                <w:proofErr w:type="spellEnd"/>
                <w:r>
                  <w:rPr>
                    <w:rFonts w:ascii="Arial" w:hAnsi="Arial" w:cs="Arial"/>
                    <w:sz w:val="20"/>
                    <w:szCs w:val="20"/>
                  </w:rPr>
                  <w:t xml:space="preserve"> (DFG) under Germany’s Excellence Strategy (EXC 2193/1 – 390951807) and the Eva Mayr-Stihl Foundation.</w:t>
                </w:r>
              </w:p>
            </w:tc>
          </w:sdtContent>
        </w:sdt>
      </w:tr>
    </w:tbl>
    <w:p w14:paraId="30296C77" w14:textId="1CFCE488"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JBI = Joanna Briggs Institute; PRISMA-</w:t>
      </w:r>
      <w:proofErr w:type="spellStart"/>
      <w:r w:rsidRPr="00A22784">
        <w:rPr>
          <w:rFonts w:ascii="Arial" w:hAnsi="Arial" w:cs="Arial"/>
          <w:sz w:val="18"/>
          <w:szCs w:val="20"/>
        </w:rPr>
        <w:t>ScR</w:t>
      </w:r>
      <w:proofErr w:type="spellEnd"/>
      <w:r w:rsidRPr="00A22784">
        <w:rPr>
          <w:rFonts w:ascii="Arial" w:hAnsi="Arial" w:cs="Arial"/>
          <w:sz w:val="18"/>
          <w:szCs w:val="20"/>
        </w:rPr>
        <w:t xml:space="preserve"> = Preferred Reporting Items for Systematic reviews and Meta-Analyses extension for Scoping Reviews.</w:t>
      </w:r>
    </w:p>
    <w:p w14:paraId="4032E26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Where </w:t>
      </w:r>
      <w:r w:rsidRPr="00A22784">
        <w:rPr>
          <w:rFonts w:ascii="Arial" w:hAnsi="Arial" w:cs="Arial"/>
          <w:i/>
          <w:sz w:val="18"/>
          <w:szCs w:val="20"/>
        </w:rPr>
        <w:t>sources of evidence</w:t>
      </w:r>
      <w:r w:rsidRPr="00A22784">
        <w:rPr>
          <w:rFonts w:ascii="Arial" w:hAnsi="Arial" w:cs="Arial"/>
          <w:sz w:val="18"/>
          <w:szCs w:val="20"/>
        </w:rPr>
        <w:t xml:space="preserve"> (see second footnote) are compiled from, such as bibliographic databases, social media platforms, and Web sites.</w:t>
      </w:r>
    </w:p>
    <w:p w14:paraId="7B237236"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A22784">
        <w:rPr>
          <w:rFonts w:ascii="Arial" w:hAnsi="Arial" w:cs="Arial"/>
          <w:i/>
          <w:sz w:val="18"/>
          <w:szCs w:val="20"/>
        </w:rPr>
        <w:t>information sources</w:t>
      </w:r>
      <w:r w:rsidRPr="00A22784">
        <w:rPr>
          <w:rFonts w:ascii="Arial" w:hAnsi="Arial" w:cs="Arial"/>
          <w:sz w:val="18"/>
          <w:szCs w:val="20"/>
        </w:rPr>
        <w:t xml:space="preserve"> (see first footnote).</w:t>
      </w:r>
    </w:p>
    <w:p w14:paraId="19E16CB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The frameworks by Arksey and O’Malley (6) and Levac and colleagues (7) and the JBI guidance (4, 5) refer to the process of data extraction in a scoping review as data charting</w:t>
      </w:r>
      <w:r w:rsidRPr="00A22784">
        <w:rPr>
          <w:rFonts w:ascii="Arial" w:hAnsi="Arial" w:cs="Arial"/>
          <w:i/>
          <w:sz w:val="18"/>
          <w:szCs w:val="20"/>
        </w:rPr>
        <w:t>.</w:t>
      </w:r>
    </w:p>
    <w:p w14:paraId="22440457" w14:textId="26673D5F" w:rsidR="006B716B" w:rsidRDefault="00DB4B2C" w:rsidP="00A22784">
      <w:pPr>
        <w:spacing w:after="0" w:line="240" w:lineRule="auto"/>
        <w:rPr>
          <w:rFonts w:ascii="Arial" w:hAnsi="Arial" w:cs="Arial"/>
          <w:sz w:val="18"/>
          <w:szCs w:val="20"/>
        </w:rPr>
      </w:pPr>
      <w:r w:rsidRPr="00A22784">
        <w:rPr>
          <w:rFonts w:ascii="Arial" w:hAnsi="Arial" w:cs="Arial"/>
          <w:sz w:val="18"/>
          <w:szCs w:val="20"/>
        </w:rPr>
        <w:t>§</w:t>
      </w:r>
      <w:r w:rsidRPr="00A22784">
        <w:rPr>
          <w:rFonts w:ascii="Arial" w:hAnsi="Arial" w:cs="Arial"/>
          <w:i/>
          <w:sz w:val="18"/>
          <w:szCs w:val="20"/>
        </w:rPr>
        <w:t xml:space="preserve"> </w:t>
      </w:r>
      <w:r w:rsidRPr="00A22784">
        <w:rPr>
          <w:rFonts w:ascii="Arial" w:hAnsi="Arial" w:cs="Arial"/>
          <w:sz w:val="18"/>
          <w:szCs w:val="20"/>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w:t>
      </w:r>
      <w:r w:rsidR="00A22784" w:rsidRPr="00A22784">
        <w:rPr>
          <w:rFonts w:ascii="Arial" w:hAnsi="Arial" w:cs="Arial"/>
          <w:sz w:val="18"/>
          <w:szCs w:val="20"/>
        </w:rPr>
        <w:t xml:space="preserve"> opinion, and policy document).</w:t>
      </w:r>
    </w:p>
    <w:p w14:paraId="3E83426B" w14:textId="77777777" w:rsidR="006B716B" w:rsidRDefault="006B716B" w:rsidP="00A22784">
      <w:pPr>
        <w:spacing w:after="0" w:line="240" w:lineRule="auto"/>
        <w:rPr>
          <w:rFonts w:ascii="Arial" w:hAnsi="Arial" w:cs="Arial"/>
          <w:sz w:val="18"/>
          <w:szCs w:val="20"/>
        </w:rPr>
      </w:pPr>
    </w:p>
    <w:p w14:paraId="4C97DB83" w14:textId="77777777" w:rsidR="006B716B" w:rsidRDefault="006B716B" w:rsidP="00A22784">
      <w:pPr>
        <w:spacing w:after="0" w:line="240" w:lineRule="auto"/>
        <w:rPr>
          <w:rFonts w:ascii="Arial" w:hAnsi="Arial" w:cs="Arial"/>
          <w:sz w:val="18"/>
          <w:szCs w:val="20"/>
        </w:rPr>
      </w:pPr>
    </w:p>
    <w:p w14:paraId="4D29C4DE" w14:textId="6AB82CFC" w:rsidR="00A3213E" w:rsidRPr="00A60F08" w:rsidRDefault="00A60F08" w:rsidP="00A60F08">
      <w:pPr>
        <w:spacing w:before="240" w:line="240" w:lineRule="auto"/>
        <w:rPr>
          <w:sz w:val="16"/>
          <w:szCs w:val="16"/>
        </w:rPr>
      </w:pPr>
      <w:r w:rsidRPr="00A60F08">
        <w:rPr>
          <w:i/>
          <w:sz w:val="16"/>
          <w:szCs w:val="16"/>
        </w:rPr>
        <w:t>From:</w:t>
      </w:r>
      <w:r w:rsidRPr="00A60F08">
        <w:rPr>
          <w:sz w:val="16"/>
          <w:szCs w:val="16"/>
        </w:rPr>
        <w:t xml:space="preserve"> </w:t>
      </w:r>
      <w:r w:rsidR="00DE5B2B" w:rsidRPr="00DE5B2B">
        <w:rPr>
          <w:sz w:val="16"/>
          <w:szCs w:val="16"/>
        </w:rPr>
        <w:t>Tricco AC, Lillie E, Zarin W, O'Brien KK, Colquhoun H, Levac D, et al. PRISMA Extension for Scoping Reviews (</w:t>
      </w:r>
      <w:proofErr w:type="spellStart"/>
      <w:r w:rsidR="00DE5B2B" w:rsidRPr="00DE5B2B">
        <w:rPr>
          <w:sz w:val="16"/>
          <w:szCs w:val="16"/>
        </w:rPr>
        <w:t>PRISMAScR</w:t>
      </w:r>
      <w:proofErr w:type="spellEnd"/>
      <w:r w:rsidR="00DE5B2B" w:rsidRPr="00DE5B2B">
        <w:rPr>
          <w:sz w:val="16"/>
          <w:szCs w:val="16"/>
        </w:rPr>
        <w:t xml:space="preserve">): Checklist and Explanation. Ann Intern Med. </w:t>
      </w:r>
      <w:proofErr w:type="gramStart"/>
      <w:r w:rsidR="00DE5B2B" w:rsidRPr="00DE5B2B">
        <w:rPr>
          <w:sz w:val="16"/>
          <w:szCs w:val="16"/>
        </w:rPr>
        <w:t>2018;169:467</w:t>
      </w:r>
      <w:proofErr w:type="gramEnd"/>
      <w:r w:rsidR="00DE5B2B" w:rsidRPr="00DE5B2B">
        <w:rPr>
          <w:sz w:val="16"/>
          <w:szCs w:val="16"/>
        </w:rPr>
        <w:t>–473.</w:t>
      </w:r>
      <w:r w:rsidR="00DE5B2B">
        <w:rPr>
          <w:sz w:val="16"/>
          <w:szCs w:val="16"/>
        </w:rPr>
        <w:t xml:space="preserve"> </w:t>
      </w:r>
      <w:hyperlink r:id="rId12" w:history="1">
        <w:proofErr w:type="spellStart"/>
        <w:r w:rsidR="00DE5B2B" w:rsidRPr="009672BA">
          <w:rPr>
            <w:rStyle w:val="Hyperlink"/>
            <w:iCs/>
            <w:sz w:val="16"/>
            <w:szCs w:val="16"/>
          </w:rPr>
          <w:t>doi</w:t>
        </w:r>
        <w:proofErr w:type="spellEnd"/>
        <w:r w:rsidR="00DE5B2B" w:rsidRPr="009672BA">
          <w:rPr>
            <w:rStyle w:val="Hyperlink"/>
            <w:iCs/>
            <w:sz w:val="16"/>
            <w:szCs w:val="16"/>
          </w:rPr>
          <w:t>: 10.7326/M18-0850</w:t>
        </w:r>
      </w:hyperlink>
      <w:r w:rsidR="00DE5B2B" w:rsidRPr="00DE5B2B">
        <w:rPr>
          <w:sz w:val="16"/>
          <w:szCs w:val="16"/>
        </w:rPr>
        <w:t>.</w:t>
      </w:r>
    </w:p>
    <w:sectPr w:rsidR="00A3213E" w:rsidRPr="00A60F08" w:rsidSect="007856C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5A9DA8" w14:textId="77777777" w:rsidR="00815759" w:rsidRDefault="00815759" w:rsidP="008F00FC">
      <w:pPr>
        <w:spacing w:after="0" w:line="240" w:lineRule="auto"/>
      </w:pPr>
      <w:r>
        <w:separator/>
      </w:r>
    </w:p>
  </w:endnote>
  <w:endnote w:type="continuationSeparator" w:id="0">
    <w:p w14:paraId="4EFE60FF" w14:textId="77777777" w:rsidR="00815759" w:rsidRDefault="00815759"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BDF899" w14:textId="789021A0" w:rsidR="00A20945" w:rsidRPr="00C96CC3" w:rsidRDefault="00000000" w:rsidP="00A20945">
    <w:pPr>
      <w:pStyle w:val="Footer"/>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rPr>
            <w:noProof/>
          </w:rPr>
          <mc:AlternateContent>
            <mc:Choice Requires="wps">
              <w:drawing>
                <wp:anchor distT="0" distB="0" distL="114300" distR="114300" simplePos="0" relativeHeight="251676672" behindDoc="0" locked="0" layoutInCell="1" allowOverlap="1" wp14:anchorId="5E10F688" wp14:editId="4BCE992C">
                  <wp:simplePos x="0" y="0"/>
                  <wp:positionH relativeFrom="column">
                    <wp:posOffset>228600</wp:posOffset>
                  </wp:positionH>
                  <wp:positionV relativeFrom="paragraph">
                    <wp:posOffset>-21590</wp:posOffset>
                  </wp:positionV>
                  <wp:extent cx="1352550" cy="5905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352550" cy="590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5" o:spid="_x0000_s1026" type="#_x0000_t202" style="position:absolute;margin-left:18pt;margin-top:-1.7pt;width:106.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" fillcolor="white [3201]" stroked="f" strokeweight=".5pt">
                  <v:textbox>
                    <w:txbxContent>
                      <w:p w14:paraId="27F71670" w14:textId="77777777" w:rsidR="00A20945" w:rsidRDefault="00A20945">
                        <w:r>
                          <w:rPr>
                            <w:noProof/>
                            <w:lang w:val="en-CA" w:eastAsia="en-CA"/>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2">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v:textbox>
                </v:shape>
              </w:pict>
            </mc:Fallback>
          </mc:AlternateContent>
        </w:r>
        <w:r w:rsidR="00A20945">
          <w:tab/>
          <w:t xml:space="preserve"> </w:t>
        </w:r>
        <w:r w:rsidR="00A20945" w:rsidRPr="005E69D9">
          <w:rPr>
            <w:rFonts w:ascii="Arial" w:hAnsi="Arial" w:cs="Arial"/>
            <w:noProof/>
          </w:rPr>
          <w:drawing>
            <wp:anchor distT="0" distB="0" distL="114300" distR="114300" simplePos="0" relativeHeight="251675648" behindDoc="0" locked="0" layoutInCell="1" allowOverlap="1" wp14:anchorId="4FD6F7B0" wp14:editId="04E8F874">
              <wp:simplePos x="0" y="0"/>
              <wp:positionH relativeFrom="column">
                <wp:posOffset>-445770</wp:posOffset>
              </wp:positionH>
              <wp:positionV relativeFrom="paragraph">
                <wp:posOffset>-2540</wp:posOffset>
              </wp:positionV>
              <wp:extent cx="495300" cy="499745"/>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bwMode="auto">
                      <a:xfrm>
                        <a:off x="0" y="0"/>
                        <a:ext cx="495300" cy="49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Content>
    </w:sdt>
    <w:r w:rsidR="00A20945">
      <w:rPr>
        <w:rFonts w:ascii="Arial" w:hAnsi="Arial" w:cs="Arial"/>
        <w:b/>
        <w:noProof/>
      </w:rPr>
      <w:tab/>
    </w:r>
  </w:p>
  <w:p w14:paraId="1FF6E737" w14:textId="697CF2A7" w:rsidR="00A20945" w:rsidRDefault="00DB4B2C" w:rsidP="004156DE">
    <w:pPr>
      <w:pStyle w:val="Footer"/>
      <w:tabs>
        <w:tab w:val="left" w:pos="6435"/>
      </w:tabs>
      <w:jc w:val="right"/>
    </w:pPr>
    <w:r w:rsidRPr="00D5306E">
      <w:rPr>
        <w:noProof/>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A24E72">
      <w:rPr>
        <w:noProof/>
      </w:rPr>
      <w:t>2</w:t>
    </w:r>
    <w:r w:rsidR="00A2094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242B7A" w14:textId="77777777" w:rsidR="00815759" w:rsidRDefault="00815759" w:rsidP="008F00FC">
      <w:pPr>
        <w:spacing w:after="0" w:line="240" w:lineRule="auto"/>
      </w:pPr>
      <w:r>
        <w:separator/>
      </w:r>
    </w:p>
  </w:footnote>
  <w:footnote w:type="continuationSeparator" w:id="0">
    <w:p w14:paraId="03CF70DB" w14:textId="77777777" w:rsidR="00815759" w:rsidRDefault="00815759" w:rsidP="008F0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6C243" w14:textId="7C74BD10" w:rsidR="00A22784" w:rsidRDefault="00A22784">
    <w:pPr>
      <w:pStyle w:val="Header"/>
    </w:pPr>
    <w:r w:rsidRPr="00A22784">
      <w:rPr>
        <w:noProof/>
      </w:rPr>
      <mc:AlternateContent>
        <mc:Choice Requires="wps">
          <w:drawing>
            <wp:anchor distT="0" distB="0" distL="114300" distR="114300" simplePos="0" relativeHeight="251680768" behindDoc="0" locked="0" layoutInCell="1" allowOverlap="1" wp14:anchorId="3E9A7931" wp14:editId="39B66D1D">
              <wp:simplePos x="0" y="0"/>
              <wp:positionH relativeFrom="column">
                <wp:posOffset>-920750</wp:posOffset>
              </wp:positionH>
              <wp:positionV relativeFrom="paragraph">
                <wp:posOffset>-461010</wp:posOffset>
              </wp:positionV>
              <wp:extent cx="10431145" cy="228600"/>
              <wp:effectExtent l="0" t="0" r="8255" b="0"/>
              <wp:wrapNone/>
              <wp:docPr id="12" name="Rectangle 11"/>
              <wp:cNvGraphicFramePr/>
              <a:graphic xmlns:a="http://schemas.openxmlformats.org/drawingml/2006/main">
                <a:graphicData uri="http://schemas.microsoft.com/office/word/2010/wordprocessingShape">
                  <wps:wsp>
                    <wps:cNvSpPr/>
                    <wps:spPr>
                      <a:xfrm>
                        <a:off x="0" y="0"/>
                        <a:ext cx="10431145" cy="228600"/>
                      </a:xfrm>
                      <a:prstGeom prst="rect">
                        <a:avLst/>
                      </a:prstGeom>
                      <a:gradFill>
                        <a:gsLst>
                          <a:gs pos="0">
                            <a:schemeClr val="accent1"/>
                          </a:gs>
                          <a:gs pos="100000">
                            <a:schemeClr val="accent1">
                              <a:lumMod val="50000"/>
                            </a:schemeClr>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6" style="position:absolute;margin-left:-72.5pt;margin-top:-36.3pt;width:821.3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" fillcolor="#2e5d8b [3204]" stroked="f" strokeweight="2pt">
              <v:fill color2="#172e45 [1604]" focusposition="1,1" focussize="" focus="100%" type="gradientRadial"/>
            </v:rect>
          </w:pict>
        </mc:Fallback>
      </mc:AlternateContent>
    </w:r>
    <w:r w:rsidRPr="00A22784">
      <w:rPr>
        <w:noProof/>
      </w:rPr>
      <mc:AlternateContent>
        <mc:Choice Requires="wps">
          <w:drawing>
            <wp:anchor distT="0" distB="0" distL="114300" distR="114300" simplePos="0" relativeHeight="251681792" behindDoc="0" locked="0" layoutInCell="1" allowOverlap="1" wp14:anchorId="6C2DFE6D" wp14:editId="3EC57F6E">
              <wp:simplePos x="0" y="0"/>
              <wp:positionH relativeFrom="column">
                <wp:posOffset>-401320</wp:posOffset>
              </wp:positionH>
              <wp:positionV relativeFrom="paragraph">
                <wp:posOffset>-461010</wp:posOffset>
              </wp:positionV>
              <wp:extent cx="9886315" cy="228600"/>
              <wp:effectExtent l="0" t="0" r="635" b="0"/>
              <wp:wrapNone/>
              <wp:docPr id="13"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ectangle 12" o:spid="_x0000_s1026" style="position:absolute;margin-left:-31.6pt;margin-top:-36.3pt;width:778.4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14736">
    <w:abstractNumId w:val="4"/>
  </w:num>
  <w:num w:numId="2" w16cid:durableId="1195192770">
    <w:abstractNumId w:val="5"/>
  </w:num>
  <w:num w:numId="3" w16cid:durableId="1961909054">
    <w:abstractNumId w:val="7"/>
  </w:num>
  <w:num w:numId="4" w16cid:durableId="74727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277823">
    <w:abstractNumId w:val="9"/>
  </w:num>
  <w:num w:numId="6" w16cid:durableId="609625211">
    <w:abstractNumId w:val="8"/>
  </w:num>
  <w:num w:numId="7" w16cid:durableId="1742024765">
    <w:abstractNumId w:val="0"/>
  </w:num>
  <w:num w:numId="8" w16cid:durableId="700670729">
    <w:abstractNumId w:val="6"/>
  </w:num>
  <w:num w:numId="9" w16cid:durableId="1187673099">
    <w:abstractNumId w:val="2"/>
  </w:num>
  <w:num w:numId="10" w16cid:durableId="163178660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0FC"/>
    <w:rsid w:val="000128F0"/>
    <w:rsid w:val="00014701"/>
    <w:rsid w:val="000227A3"/>
    <w:rsid w:val="0002445A"/>
    <w:rsid w:val="00026B41"/>
    <w:rsid w:val="0007150E"/>
    <w:rsid w:val="00102EB3"/>
    <w:rsid w:val="00105EFB"/>
    <w:rsid w:val="00114815"/>
    <w:rsid w:val="001200B5"/>
    <w:rsid w:val="00167758"/>
    <w:rsid w:val="00177075"/>
    <w:rsid w:val="001B33BA"/>
    <w:rsid w:val="001B77A0"/>
    <w:rsid w:val="001C6DDD"/>
    <w:rsid w:val="002022D5"/>
    <w:rsid w:val="00213374"/>
    <w:rsid w:val="00217418"/>
    <w:rsid w:val="002334AE"/>
    <w:rsid w:val="00242A48"/>
    <w:rsid w:val="00264424"/>
    <w:rsid w:val="00281BCD"/>
    <w:rsid w:val="002B476F"/>
    <w:rsid w:val="002F5FA3"/>
    <w:rsid w:val="00302934"/>
    <w:rsid w:val="00313A2A"/>
    <w:rsid w:val="00322A8A"/>
    <w:rsid w:val="00323E65"/>
    <w:rsid w:val="00334101"/>
    <w:rsid w:val="00347431"/>
    <w:rsid w:val="003851F2"/>
    <w:rsid w:val="003B2237"/>
    <w:rsid w:val="003D1C59"/>
    <w:rsid w:val="003E68BD"/>
    <w:rsid w:val="003F0CA1"/>
    <w:rsid w:val="003F4381"/>
    <w:rsid w:val="00407446"/>
    <w:rsid w:val="00407858"/>
    <w:rsid w:val="004156DE"/>
    <w:rsid w:val="0046017E"/>
    <w:rsid w:val="0046461D"/>
    <w:rsid w:val="004770D8"/>
    <w:rsid w:val="00497EFE"/>
    <w:rsid w:val="004B1930"/>
    <w:rsid w:val="004D3507"/>
    <w:rsid w:val="004E0449"/>
    <w:rsid w:val="004E66A9"/>
    <w:rsid w:val="004F5410"/>
    <w:rsid w:val="004F5660"/>
    <w:rsid w:val="00536F35"/>
    <w:rsid w:val="00552CC9"/>
    <w:rsid w:val="005627F4"/>
    <w:rsid w:val="00574F3D"/>
    <w:rsid w:val="005B2EA2"/>
    <w:rsid w:val="005D5A41"/>
    <w:rsid w:val="006014F6"/>
    <w:rsid w:val="006065A1"/>
    <w:rsid w:val="00627303"/>
    <w:rsid w:val="00636C96"/>
    <w:rsid w:val="00644D86"/>
    <w:rsid w:val="0066796D"/>
    <w:rsid w:val="006737C3"/>
    <w:rsid w:val="006805F3"/>
    <w:rsid w:val="00685157"/>
    <w:rsid w:val="006861DB"/>
    <w:rsid w:val="006A24B8"/>
    <w:rsid w:val="006B2B65"/>
    <w:rsid w:val="006B716B"/>
    <w:rsid w:val="006C3476"/>
    <w:rsid w:val="007156FC"/>
    <w:rsid w:val="007559B7"/>
    <w:rsid w:val="007856C6"/>
    <w:rsid w:val="007B5C73"/>
    <w:rsid w:val="00815759"/>
    <w:rsid w:val="00836836"/>
    <w:rsid w:val="00853C77"/>
    <w:rsid w:val="00866B8D"/>
    <w:rsid w:val="00873B4E"/>
    <w:rsid w:val="0087486E"/>
    <w:rsid w:val="00882287"/>
    <w:rsid w:val="008B1BDC"/>
    <w:rsid w:val="008C47EA"/>
    <w:rsid w:val="008D2992"/>
    <w:rsid w:val="008D69B6"/>
    <w:rsid w:val="008F00FC"/>
    <w:rsid w:val="008F4300"/>
    <w:rsid w:val="00920DCD"/>
    <w:rsid w:val="00953702"/>
    <w:rsid w:val="009672BA"/>
    <w:rsid w:val="009B47CD"/>
    <w:rsid w:val="009C0493"/>
    <w:rsid w:val="009C3A60"/>
    <w:rsid w:val="009D0C12"/>
    <w:rsid w:val="009D435E"/>
    <w:rsid w:val="009F0B7B"/>
    <w:rsid w:val="00A20638"/>
    <w:rsid w:val="00A2088E"/>
    <w:rsid w:val="00A20945"/>
    <w:rsid w:val="00A216E5"/>
    <w:rsid w:val="00A22784"/>
    <w:rsid w:val="00A24E72"/>
    <w:rsid w:val="00A3213E"/>
    <w:rsid w:val="00A35934"/>
    <w:rsid w:val="00A60F08"/>
    <w:rsid w:val="00A706B2"/>
    <w:rsid w:val="00A91E5F"/>
    <w:rsid w:val="00B169A9"/>
    <w:rsid w:val="00B73A70"/>
    <w:rsid w:val="00B85F7C"/>
    <w:rsid w:val="00BB554E"/>
    <w:rsid w:val="00C07F77"/>
    <w:rsid w:val="00C31A64"/>
    <w:rsid w:val="00C97AC3"/>
    <w:rsid w:val="00CB3347"/>
    <w:rsid w:val="00CE29A4"/>
    <w:rsid w:val="00D5306E"/>
    <w:rsid w:val="00DB140C"/>
    <w:rsid w:val="00DB4B2C"/>
    <w:rsid w:val="00DE5B2B"/>
    <w:rsid w:val="00DF7C50"/>
    <w:rsid w:val="00E36760"/>
    <w:rsid w:val="00E37439"/>
    <w:rsid w:val="00E453DC"/>
    <w:rsid w:val="00E7703B"/>
    <w:rsid w:val="00E83084"/>
    <w:rsid w:val="00E86273"/>
    <w:rsid w:val="00E960E8"/>
    <w:rsid w:val="00EB3A3C"/>
    <w:rsid w:val="00EF3309"/>
    <w:rsid w:val="00F63586"/>
    <w:rsid w:val="00F661BF"/>
    <w:rsid w:val="00F8401A"/>
    <w:rsid w:val="00F911F0"/>
    <w:rsid w:val="00FB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2525D"/>
  <w15:docId w15:val="{DBCEE587-D73F-4342-A62A-615E0F3C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1F0"/>
  </w:style>
  <w:style w:type="paragraph" w:styleId="Heading1">
    <w:name w:val="heading 1"/>
    <w:basedOn w:val="Normal"/>
    <w:next w:val="Normal"/>
    <w:link w:val="Heading1Ch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Heading2">
    <w:name w:val="heading 2"/>
    <w:basedOn w:val="Normal"/>
    <w:next w:val="Normal"/>
    <w:link w:val="Heading2Ch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Heading3">
    <w:name w:val="heading 3"/>
    <w:basedOn w:val="Normal"/>
    <w:next w:val="Normal"/>
    <w:link w:val="Heading3Ch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Heading4">
    <w:name w:val="heading 4"/>
    <w:basedOn w:val="Normal"/>
    <w:next w:val="Normal"/>
    <w:link w:val="Heading4Ch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Heading5">
    <w:name w:val="heading 5"/>
    <w:basedOn w:val="Normal"/>
    <w:next w:val="Normal"/>
    <w:link w:val="Heading5Ch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Heading6">
    <w:name w:val="heading 6"/>
    <w:basedOn w:val="Normal"/>
    <w:next w:val="Normal"/>
    <w:link w:val="Heading6Ch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Heading7">
    <w:name w:val="heading 7"/>
    <w:basedOn w:val="Normal"/>
    <w:next w:val="Normal"/>
    <w:link w:val="Heading7Ch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0FC"/>
  </w:style>
  <w:style w:type="paragraph" w:styleId="Footer">
    <w:name w:val="footer"/>
    <w:basedOn w:val="Normal"/>
    <w:link w:val="FooterChar"/>
    <w:uiPriority w:val="99"/>
    <w:unhideWhenUsed/>
    <w:rsid w:val="008F0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0FC"/>
  </w:style>
  <w:style w:type="character" w:styleId="SubtleEmphasis">
    <w:name w:val="Subtle Emphasis"/>
    <w:aliases w:val="Document Footer"/>
    <w:basedOn w:val="DefaultParagraphFont"/>
    <w:uiPriority w:val="19"/>
    <w:qFormat/>
    <w:rsid w:val="002022D5"/>
    <w:rPr>
      <w:rFonts w:asciiTheme="minorHAnsi" w:hAnsiTheme="minorHAnsi"/>
      <w:b/>
      <w:iCs/>
      <w:color w:val="808080" w:themeColor="background1" w:themeShade="80"/>
    </w:rPr>
  </w:style>
  <w:style w:type="character" w:styleId="Hyperlink">
    <w:name w:val="Hyperlink"/>
    <w:basedOn w:val="DefaultParagraphFont"/>
    <w:uiPriority w:val="99"/>
    <w:unhideWhenUsed/>
    <w:rsid w:val="00F911F0"/>
    <w:rPr>
      <w:color w:val="2E5D8B" w:themeColor="hyperlink"/>
      <w:u w:val="single"/>
    </w:rPr>
  </w:style>
  <w:style w:type="table" w:styleId="TableGrid">
    <w:name w:val="Table Grid"/>
    <w:basedOn w:val="Table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83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B33BA"/>
    <w:pPr>
      <w:ind w:left="720"/>
      <w:contextualSpacing/>
    </w:pPr>
  </w:style>
  <w:style w:type="character" w:styleId="PlaceholderText">
    <w:name w:val="Placeholder Text"/>
    <w:basedOn w:val="DefaultParagraphFont"/>
    <w:uiPriority w:val="99"/>
    <w:semiHidden/>
    <w:rsid w:val="0002445A"/>
    <w:rPr>
      <w:color w:val="808080"/>
    </w:rPr>
  </w:style>
  <w:style w:type="paragraph" w:styleId="NoSpacing">
    <w:name w:val="No Spacing"/>
    <w:link w:val="NoSpacingChar"/>
    <w:uiPriority w:val="1"/>
    <w:qFormat/>
    <w:rsid w:val="0002445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2445A"/>
    <w:rPr>
      <w:rFonts w:eastAsiaTheme="minorEastAsia"/>
      <w:lang w:eastAsia="ja-JP"/>
    </w:rPr>
  </w:style>
  <w:style w:type="character" w:styleId="Strong">
    <w:name w:val="Strong"/>
    <w:basedOn w:val="DefaultParagraphFont"/>
    <w:uiPriority w:val="22"/>
    <w:qFormat/>
    <w:rsid w:val="0002445A"/>
    <w:rPr>
      <w:b/>
      <w:bCs/>
    </w:rPr>
  </w:style>
  <w:style w:type="paragraph" w:styleId="TOC1">
    <w:name w:val="toc 1"/>
    <w:basedOn w:val="Normal"/>
    <w:next w:val="Normal"/>
    <w:autoRedefine/>
    <w:uiPriority w:val="39"/>
    <w:unhideWhenUsed/>
    <w:rsid w:val="00A706B2"/>
    <w:pPr>
      <w:spacing w:after="100"/>
    </w:pPr>
  </w:style>
  <w:style w:type="paragraph" w:styleId="TOC2">
    <w:name w:val="toc 2"/>
    <w:basedOn w:val="Normal"/>
    <w:next w:val="Normal"/>
    <w:autoRedefine/>
    <w:uiPriority w:val="39"/>
    <w:unhideWhenUsed/>
    <w:rsid w:val="00A706B2"/>
    <w:pPr>
      <w:spacing w:after="100"/>
      <w:ind w:left="220"/>
    </w:pPr>
  </w:style>
  <w:style w:type="paragraph" w:styleId="TO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Heading1"/>
    <w:link w:val="KTProgramreportHeading1Char"/>
    <w:rsid w:val="00A706B2"/>
    <w:rPr>
      <w:rFonts w:ascii="Arial" w:hAnsi="Arial"/>
    </w:rPr>
  </w:style>
  <w:style w:type="character" w:customStyle="1" w:styleId="KTProgramreportHeading1Char">
    <w:name w:val="KT Program report_Heading 1 Char"/>
    <w:basedOn w:val="Heading1Char"/>
    <w:link w:val="KTProgramreportHeading1"/>
    <w:rsid w:val="00A706B2"/>
    <w:rPr>
      <w:rFonts w:ascii="Arial" w:eastAsiaTheme="majorEastAsia" w:hAnsi="Arial" w:cstheme="majorBidi"/>
      <w:b/>
      <w:bCs/>
      <w:color w:val="224567" w:themeColor="accent1" w:themeShade="BF"/>
      <w:sz w:val="28"/>
      <w:szCs w:val="28"/>
    </w:rPr>
  </w:style>
  <w:style w:type="character" w:customStyle="1" w:styleId="Heading1Char">
    <w:name w:val="Heading 1 Char"/>
    <w:basedOn w:val="DefaultParagraphFont"/>
    <w:link w:val="Heading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Heading2"/>
    <w:link w:val="KTProgramHeading3Char"/>
    <w:rsid w:val="00A706B2"/>
    <w:pPr>
      <w:spacing w:before="120"/>
    </w:pPr>
    <w:rPr>
      <w:rFonts w:ascii="Arial" w:hAnsi="Arial"/>
    </w:rPr>
  </w:style>
  <w:style w:type="paragraph" w:customStyle="1" w:styleId="KTProgramHeading4">
    <w:name w:val="KT Program_Heading 4"/>
    <w:basedOn w:val="Heading3"/>
    <w:link w:val="KTProgramHeading4Char"/>
    <w:rsid w:val="00A706B2"/>
    <w:rPr>
      <w:rFonts w:ascii="Arial" w:hAnsi="Arial"/>
    </w:rPr>
  </w:style>
  <w:style w:type="character" w:customStyle="1" w:styleId="KTProgramHeading3Char">
    <w:name w:val="KT Program_Heading 3 Char"/>
    <w:basedOn w:val="Heading2Ch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Heading3Char"/>
    <w:link w:val="KTProgramHeading4"/>
    <w:rsid w:val="00A706B2"/>
    <w:rPr>
      <w:rFonts w:ascii="Arial" w:eastAsiaTheme="majorEastAsia" w:hAnsi="Arial" w:cstheme="majorBidi"/>
      <w:b/>
      <w:bCs/>
      <w:color w:val="2E5D8B" w:themeColor="accent1"/>
    </w:rPr>
  </w:style>
  <w:style w:type="character" w:customStyle="1" w:styleId="Heading2Char">
    <w:name w:val="Heading 2 Char"/>
    <w:basedOn w:val="DefaultParagraphFont"/>
    <w:link w:val="Heading2"/>
    <w:uiPriority w:val="9"/>
    <w:rsid w:val="004F5410"/>
    <w:rPr>
      <w:rFonts w:asciiTheme="majorHAnsi" w:eastAsiaTheme="majorEastAsia" w:hAnsiTheme="majorHAnsi" w:cstheme="majorBidi"/>
      <w:b/>
      <w:bCs/>
      <w:color w:val="2E5D8B" w:themeColor="accent1"/>
      <w:sz w:val="26"/>
      <w:szCs w:val="26"/>
    </w:rPr>
  </w:style>
  <w:style w:type="character" w:customStyle="1" w:styleId="Heading3Char">
    <w:name w:val="Heading 3 Char"/>
    <w:basedOn w:val="DefaultParagraphFont"/>
    <w:link w:val="Heading3"/>
    <w:uiPriority w:val="9"/>
    <w:rsid w:val="00536F35"/>
    <w:rPr>
      <w:rFonts w:asciiTheme="majorHAnsi" w:eastAsiaTheme="majorEastAsia" w:hAnsiTheme="majorHAnsi" w:cstheme="majorBidi"/>
      <w:b/>
      <w:bCs/>
      <w:color w:val="2E5D8B" w:themeColor="accent1"/>
    </w:rPr>
  </w:style>
  <w:style w:type="table" w:styleId="LightList-Accent1">
    <w:name w:val="Light List Accent 1"/>
    <w:basedOn w:val="Table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Heading4Char">
    <w:name w:val="Heading 4 Char"/>
    <w:basedOn w:val="DefaultParagraphFont"/>
    <w:link w:val="Heading4"/>
    <w:uiPriority w:val="9"/>
    <w:rsid w:val="00536F35"/>
    <w:rPr>
      <w:rFonts w:asciiTheme="majorHAnsi" w:eastAsiaTheme="majorEastAsia" w:hAnsiTheme="majorHAnsi" w:cstheme="majorBidi"/>
      <w:b/>
      <w:bCs/>
      <w:i/>
      <w:iCs/>
      <w:color w:val="2E5D8B" w:themeColor="accent1"/>
    </w:rPr>
  </w:style>
  <w:style w:type="character" w:customStyle="1" w:styleId="Heading5Char">
    <w:name w:val="Heading 5 Char"/>
    <w:basedOn w:val="DefaultParagraphFont"/>
    <w:link w:val="Heading5"/>
    <w:uiPriority w:val="9"/>
    <w:rsid w:val="004F5410"/>
    <w:rPr>
      <w:rFonts w:asciiTheme="majorHAnsi" w:eastAsiaTheme="majorEastAsia" w:hAnsiTheme="majorHAnsi" w:cstheme="majorBidi"/>
      <w:b/>
      <w:color w:val="5C5C5C" w:themeColor="text1" w:themeTint="BF"/>
      <w:u w:val="single"/>
    </w:rPr>
  </w:style>
  <w:style w:type="character" w:customStyle="1" w:styleId="Heading6Char">
    <w:name w:val="Heading 6 Char"/>
    <w:basedOn w:val="DefaultParagraphFont"/>
    <w:link w:val="Heading6"/>
    <w:uiPriority w:val="9"/>
    <w:rsid w:val="004F5410"/>
    <w:rPr>
      <w:rFonts w:asciiTheme="majorHAnsi" w:eastAsiaTheme="majorEastAsia" w:hAnsiTheme="majorHAnsi" w:cstheme="majorBidi"/>
      <w:b/>
      <w:i/>
      <w:iCs/>
      <w:color w:val="5C5C5C" w:themeColor="text1" w:themeTint="BF"/>
      <w:u w:val="single"/>
    </w:rPr>
  </w:style>
  <w:style w:type="character" w:customStyle="1" w:styleId="Heading7Char">
    <w:name w:val="Heading 7 Char"/>
    <w:basedOn w:val="DefaultParagraphFont"/>
    <w:link w:val="Heading7"/>
    <w:uiPriority w:val="9"/>
    <w:rsid w:val="00536F35"/>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rsid w:val="00536F35"/>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rsid w:val="00536F35"/>
    <w:rPr>
      <w:rFonts w:asciiTheme="majorHAnsi" w:eastAsiaTheme="majorEastAsia" w:hAnsiTheme="majorHAnsi" w:cstheme="majorBidi"/>
      <w:i/>
      <w:iCs/>
      <w:color w:val="5C5C5C" w:themeColor="text1" w:themeTint="BF"/>
      <w:sz w:val="20"/>
      <w:szCs w:val="20"/>
    </w:rPr>
  </w:style>
  <w:style w:type="table" w:styleId="MediumGrid3-Accent3">
    <w:name w:val="Medium Grid 3 Accent 3"/>
    <w:basedOn w:val="Table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MediumShading2-Accent1">
    <w:name w:val="Medium Shading 2 Accent 1"/>
    <w:basedOn w:val="Table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e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66B8D"/>
    <w:rPr>
      <w:sz w:val="16"/>
      <w:szCs w:val="16"/>
    </w:rPr>
  </w:style>
  <w:style w:type="paragraph" w:styleId="CommentText">
    <w:name w:val="annotation text"/>
    <w:basedOn w:val="Normal"/>
    <w:link w:val="CommentTextChar"/>
    <w:uiPriority w:val="99"/>
    <w:semiHidden/>
    <w:unhideWhenUsed/>
    <w:rsid w:val="00866B8D"/>
    <w:pPr>
      <w:spacing w:line="240" w:lineRule="auto"/>
    </w:pPr>
    <w:rPr>
      <w:sz w:val="20"/>
      <w:szCs w:val="20"/>
    </w:rPr>
  </w:style>
  <w:style w:type="character" w:customStyle="1" w:styleId="CommentTextChar">
    <w:name w:val="Comment Text Char"/>
    <w:basedOn w:val="DefaultParagraphFont"/>
    <w:link w:val="CommentText"/>
    <w:uiPriority w:val="99"/>
    <w:semiHidden/>
    <w:rsid w:val="00866B8D"/>
    <w:rPr>
      <w:sz w:val="20"/>
      <w:szCs w:val="20"/>
    </w:rPr>
  </w:style>
  <w:style w:type="paragraph" w:styleId="CommentSubject">
    <w:name w:val="annotation subject"/>
    <w:basedOn w:val="CommentText"/>
    <w:next w:val="CommentText"/>
    <w:link w:val="CommentSubjectChar"/>
    <w:uiPriority w:val="99"/>
    <w:semiHidden/>
    <w:unhideWhenUsed/>
    <w:rsid w:val="00866B8D"/>
    <w:rPr>
      <w:b/>
      <w:bCs/>
    </w:rPr>
  </w:style>
  <w:style w:type="character" w:customStyle="1" w:styleId="CommentSubjectChar">
    <w:name w:val="Comment Subject Char"/>
    <w:basedOn w:val="CommentTextChar"/>
    <w:link w:val="CommentSubject"/>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nnals.org/aim/fullarticle/2700389/prisma-extension-scoping-reviews-prisma-scr-checklist-explan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rsidR="00CC7CE7" w:rsidRDefault="00C33A07">
          <w:r w:rsidRPr="003A2F5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3A07"/>
    <w:rsid w:val="00815AE6"/>
    <w:rsid w:val="00C33A07"/>
    <w:rsid w:val="00CC7CE7"/>
    <w:rsid w:val="00DF7C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A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0EBB6-9E48-419F-B2B9-D05E3D04DA46}">
  <ds:schemaRefs>
    <ds:schemaRef ds:uri="http://schemas.microsoft.com/sharepoint/events"/>
  </ds:schemaRefs>
</ds:datastoreItem>
</file>

<file path=customXml/itemProps2.xml><?xml version="1.0" encoding="utf-8"?>
<ds:datastoreItem xmlns:ds="http://schemas.openxmlformats.org/officeDocument/2006/customXml" ds:itemID="{6EE38350-9134-45CE-9A81-881B472B5096}">
  <ds:schemaRefs>
    <ds:schemaRef ds:uri="http://schemas.microsoft.com/office/2006/metadata/properties"/>
    <ds:schemaRef ds:uri="http://schemas.microsoft.com/office/infopath/2007/PartnerControls"/>
    <ds:schemaRef ds:uri="ddd86614-e075-45fd-ad75-7be4b83b486d"/>
  </ds:schemaRefs>
</ds:datastoreItem>
</file>

<file path=customXml/itemProps3.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4.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F78C9F1-F9EC-4C7A-AD57-4FE74BECF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St. Michael's</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Julius Fenn</cp:lastModifiedBy>
  <cp:revision>6</cp:revision>
  <cp:lastPrinted>2018-11-16T17:06:00Z</cp:lastPrinted>
  <dcterms:created xsi:type="dcterms:W3CDTF">2019-09-09T17:41:00Z</dcterms:created>
  <dcterms:modified xsi:type="dcterms:W3CDTF">2026-09-03T16:48:00Z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