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1BEF" w:rsidRDefault="007E1BEF" w:rsidP="007E1BEF">
      <w:pPr>
        <w:pStyle w:val="StandardWeb"/>
      </w:pPr>
      <w:r>
        <w:rPr>
          <w:rStyle w:val="Fett"/>
        </w:rPr>
        <w:t xml:space="preserve">Concise Summary of </w:t>
      </w:r>
      <w:r w:rsidRPr="007E1BEF">
        <w:rPr>
          <w:rStyle w:val="Fett"/>
          <w:highlight w:val="yellow"/>
        </w:rPr>
        <w:t>Highly Rated Application Cases</w:t>
      </w:r>
      <w:r>
        <w:rPr>
          <w:rStyle w:val="Fett"/>
        </w:rPr>
        <w:t xml:space="preserve"> for the Soft Robot Walker</w:t>
      </w:r>
    </w:p>
    <w:p w:rsidR="007E1BEF" w:rsidRDefault="007E1BEF" w:rsidP="007E1BEF">
      <w:pPr>
        <w:pStyle w:val="StandardWeb"/>
      </w:pPr>
      <w:r>
        <w:t xml:space="preserve">Participants consistently rated the following application domains as </w:t>
      </w:r>
      <w:r>
        <w:rPr>
          <w:rStyle w:val="Hervorhebung"/>
        </w:rPr>
        <w:t>highly important</w:t>
      </w:r>
      <w:r>
        <w:t>:</w:t>
      </w:r>
    </w:p>
    <w:p w:rsidR="007E1BEF" w:rsidRDefault="007E1BEF" w:rsidP="007E1BEF">
      <w:pPr>
        <w:pStyle w:val="StandardWeb"/>
        <w:numPr>
          <w:ilvl w:val="0"/>
          <w:numId w:val="1"/>
        </w:numPr>
      </w:pPr>
      <w:r>
        <w:rPr>
          <w:rStyle w:val="Fett"/>
        </w:rPr>
        <w:t>Healthcare, Caregiving, and Assistive Support</w:t>
      </w:r>
      <w:r>
        <w:br/>
        <w:t>The Soft Robot Walker (SRW) is seen as highly valuable for assisting elderly, disabled, or incapacitated individuals in homes, hospitals, and care facilities. Key uses include fetching and carrying items, supporting mobility and rehabilitation, handling delicate tasks, aiding nurses and surgeons, and performing gentle medical procedures or minimally invasive interventions.</w:t>
      </w:r>
    </w:p>
    <w:p w:rsidR="007E1BEF" w:rsidRDefault="007E1BEF" w:rsidP="007E1BEF">
      <w:pPr>
        <w:pStyle w:val="StandardWeb"/>
        <w:numPr>
          <w:ilvl w:val="0"/>
          <w:numId w:val="1"/>
        </w:numPr>
      </w:pPr>
      <w:r>
        <w:rPr>
          <w:rStyle w:val="Fett"/>
        </w:rPr>
        <w:t>Search, Rescue, and Disaster Response</w:t>
      </w:r>
      <w:r>
        <w:br/>
        <w:t>A major application area involves search-and-rescue operations in hazardous or inaccessible environments such as collapsed buildings, earthquake rubble, fires, war zones, and extreme weather conditions. Its soft, flexible body enables safe navigation over unstable terrain, entry into confined spaces, and locating or delivering aid to trapped people or animals without risking human responders.</w:t>
      </w:r>
    </w:p>
    <w:p w:rsidR="007E1BEF" w:rsidRDefault="007E1BEF" w:rsidP="007E1BEF">
      <w:pPr>
        <w:pStyle w:val="StandardWeb"/>
        <w:numPr>
          <w:ilvl w:val="0"/>
          <w:numId w:val="1"/>
        </w:numPr>
      </w:pPr>
      <w:r>
        <w:rPr>
          <w:rStyle w:val="Fett"/>
        </w:rPr>
        <w:t>Dangerous and High-Risk Environments</w:t>
      </w:r>
      <w:r>
        <w:br/>
        <w:t>Participants highlighted strong relevance for use in environments unsafe for humans, including bomb and landmine disposal, nuclear or highly radioactive areas, biological hazard cleanup, toxic or high-temperature zones, and deep-sea or underwater inspection. The SRW’s compliance and adaptability reduce risk when handling explosives or hazardous materials.</w:t>
      </w:r>
    </w:p>
    <w:p w:rsidR="007E1BEF" w:rsidRDefault="007E1BEF" w:rsidP="007E1BEF">
      <w:pPr>
        <w:pStyle w:val="StandardWeb"/>
        <w:numPr>
          <w:ilvl w:val="0"/>
          <w:numId w:val="1"/>
        </w:numPr>
      </w:pPr>
      <w:r>
        <w:rPr>
          <w:rStyle w:val="Fett"/>
        </w:rPr>
        <w:t>Industrial, Manufacturing, and Logistics Applications</w:t>
      </w:r>
      <w:r>
        <w:br/>
        <w:t>The SRW was rated highly for collaborative robotics in factories, warehouses, and construction sites—especially for handling fragile items, operating in tight spaces, assisting human workers, and performing repetitive or precision tasks on uneven or unconventional surfaces.</w:t>
      </w:r>
    </w:p>
    <w:p w:rsidR="007E1BEF" w:rsidRDefault="007E1BEF" w:rsidP="007E1BEF">
      <w:pPr>
        <w:pStyle w:val="StandardWeb"/>
        <w:numPr>
          <w:ilvl w:val="0"/>
          <w:numId w:val="1"/>
        </w:numPr>
      </w:pPr>
      <w:r>
        <w:rPr>
          <w:rStyle w:val="Fett"/>
        </w:rPr>
        <w:t>Environmental, Agricultural, and Scientific Exploration</w:t>
      </w:r>
      <w:r>
        <w:br/>
        <w:t>Important applications include environmental monitoring, ecological research, animal conservation and rescue, agriculture (e.g., fruit picking, planting seeds, soil and water sampling), pipeline and infrastructure inspection, and exploration of caves, mines, archaeological sites, space, or other remote natural environments.</w:t>
      </w:r>
    </w:p>
    <w:p w:rsidR="007E1BEF" w:rsidRDefault="007E1BEF" w:rsidP="007E1BEF">
      <w:pPr>
        <w:pStyle w:val="StandardWeb"/>
        <w:numPr>
          <w:ilvl w:val="0"/>
          <w:numId w:val="1"/>
        </w:numPr>
      </w:pPr>
      <w:r>
        <w:rPr>
          <w:rStyle w:val="Fett"/>
        </w:rPr>
        <w:t>Domestic, Social, and Public Services</w:t>
      </w:r>
      <w:r>
        <w:br/>
        <w:t>Participants also emphasized home assistance, social care, hospital logistics, cleaning and recycling tasks, street and beach cleanup, and delivery of food, medicine, or supplies—particularly for people in isolation or with limited mobility.</w:t>
      </w:r>
    </w:p>
    <w:p w:rsidR="007E1BEF" w:rsidRDefault="007E1BEF" w:rsidP="007E1BEF">
      <w:pPr>
        <w:pStyle w:val="StandardWeb"/>
      </w:pPr>
      <w:r>
        <w:t xml:space="preserve">Overall, highly rated scenarios converge on the SRW’s </w:t>
      </w:r>
      <w:r>
        <w:rPr>
          <w:rStyle w:val="Fett"/>
        </w:rPr>
        <w:t>softness, flexibility, safety, and terrain adaptability</w:t>
      </w:r>
      <w:r>
        <w:t>, making it especially suitable where humans, rigid robots, or wheeled systems are limited by risk, delicacy, or accessibility.</w:t>
      </w:r>
    </w:p>
    <w:p w:rsidR="007E1BEF" w:rsidRDefault="007E1BEF" w:rsidP="007E1BEF">
      <w:pPr>
        <w:pStyle w:val="StandardWeb"/>
      </w:pPr>
    </w:p>
    <w:p w:rsidR="007E1BEF" w:rsidRDefault="007E1BEF" w:rsidP="007E1BEF">
      <w:pPr>
        <w:pStyle w:val="StandardWeb"/>
      </w:pPr>
    </w:p>
    <w:p w:rsidR="007E1BEF" w:rsidRDefault="007E1BEF" w:rsidP="007E1BEF">
      <w:pPr>
        <w:pStyle w:val="StandardWeb"/>
      </w:pPr>
    </w:p>
    <w:p w:rsidR="007E1BEF" w:rsidRDefault="007E1BEF" w:rsidP="007E1BEF">
      <w:pPr>
        <w:pStyle w:val="StandardWeb"/>
      </w:pPr>
    </w:p>
    <w:p w:rsidR="007E1BEF" w:rsidRDefault="007E1BEF" w:rsidP="007E1BEF">
      <w:pPr>
        <w:pStyle w:val="StandardWeb"/>
      </w:pPr>
      <w:r>
        <w:rPr>
          <w:rStyle w:val="Fett"/>
        </w:rPr>
        <w:lastRenderedPageBreak/>
        <w:t xml:space="preserve">Concise summary of participants’ reflections on the </w:t>
      </w:r>
      <w:r w:rsidRPr="007E1BEF">
        <w:rPr>
          <w:rStyle w:val="Fett"/>
          <w:highlight w:val="yellow"/>
        </w:rPr>
        <w:t>ecological aspect of sustainability</w:t>
      </w:r>
    </w:p>
    <w:p w:rsidR="007E1BEF" w:rsidRDefault="007E1BEF" w:rsidP="007E1BEF">
      <w:pPr>
        <w:pStyle w:val="StandardWeb"/>
      </w:pPr>
      <w:r>
        <w:t xml:space="preserve">Overall, participants linked the Soft Robot Walker (SRW) to ecological sustainability mainly through its </w:t>
      </w:r>
      <w:r>
        <w:rPr>
          <w:rStyle w:val="Fett"/>
        </w:rPr>
        <w:t>potentially lower environmental footprint</w:t>
      </w:r>
      <w:r>
        <w:t xml:space="preserve"> and its </w:t>
      </w:r>
      <w:r>
        <w:rPr>
          <w:rStyle w:val="Fett"/>
        </w:rPr>
        <w:t>ability to operate gently in natural settings</w:t>
      </w:r>
      <w:r>
        <w:t>:</w:t>
      </w:r>
    </w:p>
    <w:p w:rsidR="007E1BEF" w:rsidRDefault="007E1BEF" w:rsidP="007E1BEF">
      <w:pPr>
        <w:pStyle w:val="StandardWeb"/>
        <w:numPr>
          <w:ilvl w:val="0"/>
          <w:numId w:val="2"/>
        </w:numPr>
      </w:pPr>
      <w:r>
        <w:rPr>
          <w:rStyle w:val="Fett"/>
        </w:rPr>
        <w:t>Lower resource and energy demands (in principle):</w:t>
      </w:r>
      <w:r>
        <w:t xml:space="preserve"> Many emphasized that the SRW’s </w:t>
      </w:r>
      <w:r>
        <w:rPr>
          <w:rStyle w:val="Fett"/>
        </w:rPr>
        <w:t>compressed-air actuation</w:t>
      </w:r>
      <w:r>
        <w:t xml:space="preserve"> and </w:t>
      </w:r>
      <w:r>
        <w:rPr>
          <w:rStyle w:val="Fett"/>
        </w:rPr>
        <w:t>lack of electronics/batteries</w:t>
      </w:r>
      <w:r>
        <w:t xml:space="preserve"> could reduce electricity use and avoid resource-intensive components (e.g., rare metals, circuit boards, lithium), potentially lowering emissions and mining impacts.</w:t>
      </w:r>
    </w:p>
    <w:p w:rsidR="007E1BEF" w:rsidRDefault="007E1BEF" w:rsidP="007E1BEF">
      <w:pPr>
        <w:pStyle w:val="StandardWeb"/>
        <w:numPr>
          <w:ilvl w:val="0"/>
          <w:numId w:val="2"/>
        </w:numPr>
      </w:pPr>
      <w:r>
        <w:rPr>
          <w:rStyle w:val="Fett"/>
        </w:rPr>
        <w:t>Materials, manufacturing, and end-of-life considerations:</w:t>
      </w:r>
      <w:r>
        <w:t xml:space="preserve"> A common theme was that </w:t>
      </w:r>
      <w:r>
        <w:rPr>
          <w:rStyle w:val="Fett"/>
        </w:rPr>
        <w:t>3D printing</w:t>
      </w:r>
      <w:r>
        <w:t xml:space="preserve"> may reduce manufacturing waste (more precise material use) and enable </w:t>
      </w:r>
      <w:r>
        <w:rPr>
          <w:rStyle w:val="Fett"/>
        </w:rPr>
        <w:t>local/on-site production</w:t>
      </w:r>
      <w:r>
        <w:t xml:space="preserve">, cutting transport impacts. Several also suggested the robot could be made from </w:t>
      </w:r>
      <w:r>
        <w:rPr>
          <w:rStyle w:val="Fett"/>
        </w:rPr>
        <w:t>recycled and/or biodegradable materials</w:t>
      </w:r>
      <w:r>
        <w:t>, improving recyclability and reducing landfill waste—especially compared to “hard” robots.</w:t>
      </w:r>
    </w:p>
    <w:p w:rsidR="007E1BEF" w:rsidRDefault="007E1BEF" w:rsidP="007E1BEF">
      <w:pPr>
        <w:pStyle w:val="StandardWeb"/>
        <w:numPr>
          <w:ilvl w:val="0"/>
          <w:numId w:val="2"/>
        </w:numPr>
      </w:pPr>
      <w:r>
        <w:rPr>
          <w:rStyle w:val="Fett"/>
        </w:rPr>
        <w:t>Minimal disruption to ecosystems in use:</w:t>
      </w:r>
      <w:r>
        <w:t xml:space="preserve"> Participants frequently noted the SRW’s </w:t>
      </w:r>
      <w:r>
        <w:rPr>
          <w:rStyle w:val="Fett"/>
        </w:rPr>
        <w:t>soft, lightweight, insect-like locomotion</w:t>
      </w:r>
      <w:r>
        <w:t xml:space="preserve"> as environmentally “gentle,” enabling movement across sensitive terrain (forest floors, sand, rocks, wetlands) with </w:t>
      </w:r>
      <w:r>
        <w:rPr>
          <w:rStyle w:val="Fett"/>
        </w:rPr>
        <w:t>less risk of damage</w:t>
      </w:r>
      <w:r>
        <w:t xml:space="preserve"> to plants, animals, or delicate structures.</w:t>
      </w:r>
    </w:p>
    <w:p w:rsidR="007E1BEF" w:rsidRDefault="007E1BEF" w:rsidP="007E1BEF">
      <w:pPr>
        <w:pStyle w:val="StandardWeb"/>
        <w:numPr>
          <w:ilvl w:val="0"/>
          <w:numId w:val="2"/>
        </w:numPr>
      </w:pPr>
      <w:r>
        <w:rPr>
          <w:rStyle w:val="Fett"/>
        </w:rPr>
        <w:t>Direct ecological applications:</w:t>
      </w:r>
      <w:r>
        <w:t xml:space="preserve"> Many proposed using SRW for </w:t>
      </w:r>
      <w:r>
        <w:rPr>
          <w:rStyle w:val="Fett"/>
        </w:rPr>
        <w:t>environmental monitoring</w:t>
      </w:r>
      <w:r>
        <w:t xml:space="preserve"> (cameras/sensors for habitats and climate impacts), </w:t>
      </w:r>
      <w:r>
        <w:rPr>
          <w:rStyle w:val="Fett"/>
        </w:rPr>
        <w:t>sampling</w:t>
      </w:r>
      <w:r>
        <w:t xml:space="preserve">, </w:t>
      </w:r>
      <w:r>
        <w:rPr>
          <w:rStyle w:val="Fett"/>
        </w:rPr>
        <w:t>conservation work</w:t>
      </w:r>
      <w:r>
        <w:t xml:space="preserve">, and </w:t>
      </w:r>
      <w:r>
        <w:rPr>
          <w:rStyle w:val="Fett"/>
        </w:rPr>
        <w:t>pollution cleanup</w:t>
      </w:r>
      <w:r>
        <w:t xml:space="preserve"> (e.g., collecting waste/plastics), including in locations unsafe or inaccessible to humans.</w:t>
      </w:r>
    </w:p>
    <w:p w:rsidR="007E1BEF" w:rsidRDefault="007E1BEF" w:rsidP="007E1BEF">
      <w:pPr>
        <w:pStyle w:val="StandardWeb"/>
        <w:numPr>
          <w:ilvl w:val="0"/>
          <w:numId w:val="2"/>
        </w:numPr>
      </w:pPr>
      <w:r>
        <w:rPr>
          <w:rStyle w:val="Fett"/>
        </w:rPr>
        <w:t>Caveats and skepticism:</w:t>
      </w:r>
      <w:r>
        <w:t xml:space="preserve"> A substantial minority questioned the ecological benefit, pointing to </w:t>
      </w:r>
      <w:r>
        <w:rPr>
          <w:rStyle w:val="Fett"/>
        </w:rPr>
        <w:t>polymers/plastics</w:t>
      </w:r>
      <w:r>
        <w:t xml:space="preserve">, </w:t>
      </w:r>
      <w:r>
        <w:rPr>
          <w:rStyle w:val="Fett"/>
        </w:rPr>
        <w:t>electricity needed for 3D printing and air compression</w:t>
      </w:r>
      <w:r>
        <w:t xml:space="preserve">, </w:t>
      </w:r>
      <w:r>
        <w:rPr>
          <w:rStyle w:val="Fett"/>
        </w:rPr>
        <w:t>air cartridge manufacturing</w:t>
      </w:r>
      <w:r>
        <w:t xml:space="preserve">, and the broader view that making “non-essential” devices still consumes resources. Several said it’s </w:t>
      </w:r>
      <w:r>
        <w:rPr>
          <w:rStyle w:val="Fett"/>
        </w:rPr>
        <w:t>too early to judge</w:t>
      </w:r>
      <w:r>
        <w:t xml:space="preserve"> without clearer lifecycle details (materials, sourcing, recycling systems, and actual use cases).</w:t>
      </w:r>
    </w:p>
    <w:p w:rsidR="002C00D8" w:rsidRDefault="002C00D8" w:rsidP="002C00D8">
      <w:pPr>
        <w:pStyle w:val="StandardWeb"/>
      </w:pPr>
      <w:r w:rsidRPr="002C00D8">
        <w:rPr>
          <w:color w:val="FF0000"/>
        </w:rPr>
        <w:t>SDGs</w:t>
      </w:r>
      <w:r>
        <w:t>:</w:t>
      </w:r>
    </w:p>
    <w:p w:rsidR="002C00D8" w:rsidRDefault="002C00D8" w:rsidP="002C00D8">
      <w:pPr>
        <w:pStyle w:val="StandardWeb"/>
      </w:pPr>
      <w:r>
        <w:rPr>
          <w:noProof/>
        </w:rPr>
        <w:drawing>
          <wp:inline distT="0" distB="0" distL="0" distR="0" wp14:anchorId="7B2B95DE" wp14:editId="439AEF50">
            <wp:extent cx="3709359" cy="2655626"/>
            <wp:effectExtent l="0" t="0" r="5715"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738796" cy="2676700"/>
                    </a:xfrm>
                    <a:prstGeom prst="rect">
                      <a:avLst/>
                    </a:prstGeom>
                  </pic:spPr>
                </pic:pic>
              </a:graphicData>
            </a:graphic>
          </wp:inline>
        </w:drawing>
      </w:r>
    </w:p>
    <w:p w:rsidR="002C00D8" w:rsidRDefault="002C00D8" w:rsidP="002C00D8">
      <w:pPr>
        <w:pStyle w:val="StandardWeb"/>
      </w:pPr>
      <w:r>
        <w:lastRenderedPageBreak/>
        <w:t xml:space="preserve">From the chart, participants most strongly associated their </w:t>
      </w:r>
      <w:r>
        <w:rPr>
          <w:rStyle w:val="Fett"/>
        </w:rPr>
        <w:t>ecological sustainability reflections</w:t>
      </w:r>
      <w:r>
        <w:t xml:space="preserve"> with:</w:t>
      </w:r>
    </w:p>
    <w:p w:rsidR="002C00D8" w:rsidRDefault="002C00D8" w:rsidP="002C00D8">
      <w:pPr>
        <w:pStyle w:val="StandardWeb"/>
        <w:numPr>
          <w:ilvl w:val="0"/>
          <w:numId w:val="5"/>
        </w:numPr>
      </w:pPr>
      <w:r>
        <w:rPr>
          <w:rStyle w:val="Fett"/>
        </w:rPr>
        <w:t>SDG 12 – Responsible Consumption &amp; Production</w:t>
      </w:r>
      <w:r>
        <w:t xml:space="preserve"> (highest overall)</w:t>
      </w:r>
    </w:p>
    <w:p w:rsidR="002C00D8" w:rsidRDefault="002C00D8" w:rsidP="002C00D8">
      <w:pPr>
        <w:pStyle w:val="StandardWeb"/>
        <w:numPr>
          <w:ilvl w:val="0"/>
          <w:numId w:val="5"/>
        </w:numPr>
      </w:pPr>
      <w:r>
        <w:rPr>
          <w:rStyle w:val="Fett"/>
        </w:rPr>
        <w:t>SDG 13 – Climate Action</w:t>
      </w:r>
      <w:r>
        <w:t xml:space="preserve"> (close second)</w:t>
      </w:r>
    </w:p>
    <w:p w:rsidR="002C00D8" w:rsidRDefault="002C00D8" w:rsidP="002C00D8">
      <w:pPr>
        <w:pStyle w:val="StandardWeb"/>
      </w:pPr>
      <w:r>
        <w:t>A clear secondary peak is:</w:t>
      </w:r>
    </w:p>
    <w:p w:rsidR="002C00D8" w:rsidRDefault="002C00D8" w:rsidP="002C00D8">
      <w:pPr>
        <w:pStyle w:val="StandardWeb"/>
        <w:numPr>
          <w:ilvl w:val="0"/>
          <w:numId w:val="6"/>
        </w:numPr>
      </w:pPr>
      <w:r>
        <w:rPr>
          <w:rStyle w:val="Fett"/>
        </w:rPr>
        <w:t>SDG 15 – Life on Land</w:t>
      </w:r>
    </w:p>
    <w:p w:rsidR="002C00D8" w:rsidRDefault="002C00D8" w:rsidP="002C00D8">
      <w:pPr>
        <w:pStyle w:val="StandardWeb"/>
      </w:pPr>
      <w:r>
        <w:t>All other SDGs shown (e.g., SDG 7, 9, 11, 14, 3, 8) appear notably lower by comparison.</w:t>
      </w:r>
    </w:p>
    <w:p w:rsidR="002C00D8" w:rsidRDefault="002C00D8" w:rsidP="002C00D8">
      <w:pPr>
        <w:pStyle w:val="StandardWeb"/>
      </w:pPr>
    </w:p>
    <w:p w:rsidR="00117594" w:rsidRDefault="00117594"/>
    <w:p w:rsidR="002C00D8" w:rsidRDefault="002C00D8"/>
    <w:p w:rsidR="002C00D8" w:rsidRDefault="002C00D8"/>
    <w:p w:rsidR="007E1BEF" w:rsidRDefault="007E1BEF" w:rsidP="007E1BEF">
      <w:pPr>
        <w:pStyle w:val="StandardWeb"/>
      </w:pPr>
      <w:r>
        <w:rPr>
          <w:rStyle w:val="Fett"/>
        </w:rPr>
        <w:t xml:space="preserve">Concise summary of participants’ reflections on the </w:t>
      </w:r>
      <w:r w:rsidRPr="007E1BEF">
        <w:rPr>
          <w:rStyle w:val="Fett"/>
          <w:highlight w:val="yellow"/>
        </w:rPr>
        <w:t>social aspect of sustainability</w:t>
      </w:r>
    </w:p>
    <w:p w:rsidR="007E1BEF" w:rsidRDefault="007E1BEF" w:rsidP="007E1BEF">
      <w:pPr>
        <w:pStyle w:val="StandardWeb"/>
      </w:pPr>
      <w:r>
        <w:t>Participants’ responses converged on several key social themes, alongside notable uncertainty and skepticism:</w:t>
      </w:r>
    </w:p>
    <w:p w:rsidR="007E1BEF" w:rsidRDefault="007E1BEF" w:rsidP="007E1BEF">
      <w:pPr>
        <w:pStyle w:val="StandardWeb"/>
        <w:numPr>
          <w:ilvl w:val="0"/>
          <w:numId w:val="3"/>
        </w:numPr>
      </w:pPr>
      <w:r>
        <w:rPr>
          <w:rStyle w:val="Fett"/>
        </w:rPr>
        <w:t>Safety and human well-being:</w:t>
      </w:r>
      <w:r>
        <w:t xml:space="preserve"> The most consistent point was that the Soft Robot Walker’s </w:t>
      </w:r>
      <w:r>
        <w:rPr>
          <w:rStyle w:val="Hervorhebung"/>
        </w:rPr>
        <w:t>soft, flexible design</w:t>
      </w:r>
      <w:r>
        <w:t xml:space="preserve"> makes it safer and less intimidating for close human interaction than rigid robots. This was seen as beneficial in healthcare, social care, education, workplaces, and disaster zones, reducing injury risk and protecting people from hazardous tasks (e.g. bomb disposal, disaster response).</w:t>
      </w:r>
    </w:p>
    <w:p w:rsidR="007E1BEF" w:rsidRDefault="007E1BEF" w:rsidP="007E1BEF">
      <w:pPr>
        <w:pStyle w:val="StandardWeb"/>
        <w:numPr>
          <w:ilvl w:val="0"/>
          <w:numId w:val="3"/>
        </w:numPr>
      </w:pPr>
      <w:r>
        <w:rPr>
          <w:rStyle w:val="Fett"/>
        </w:rPr>
        <w:t>Support for vulnerable and marginalized groups:</w:t>
      </w:r>
      <w:r>
        <w:t xml:space="preserve"> Many highlighted </w:t>
      </w:r>
      <w:proofErr w:type="gramStart"/>
      <w:r>
        <w:t>potential</w:t>
      </w:r>
      <w:proofErr w:type="gramEnd"/>
      <w:r>
        <w:t xml:space="preserve"> to </w:t>
      </w:r>
      <w:r>
        <w:rPr>
          <w:rStyle w:val="Hervorhebung"/>
        </w:rPr>
        <w:t>improve quality of life and independence</w:t>
      </w:r>
      <w:r>
        <w:t xml:space="preserve"> for elderly people, individuals with disabilities, and those with mobility limitations—by assisting with everyday tasks, caregiving, or rehabilitation—thereby promoting inclusion and dignity.</w:t>
      </w:r>
    </w:p>
    <w:p w:rsidR="007E1BEF" w:rsidRDefault="007E1BEF" w:rsidP="007E1BEF">
      <w:pPr>
        <w:pStyle w:val="StandardWeb"/>
        <w:numPr>
          <w:ilvl w:val="0"/>
          <w:numId w:val="3"/>
        </w:numPr>
      </w:pPr>
      <w:r>
        <w:rPr>
          <w:rStyle w:val="Fett"/>
        </w:rPr>
        <w:t>Accessibility, affordability, and equity:</w:t>
      </w:r>
      <w:r>
        <w:t xml:space="preserve"> Participants frequently linked social sustainability to the SRW’s </w:t>
      </w:r>
      <w:r>
        <w:rPr>
          <w:rStyle w:val="Hervorhebung"/>
        </w:rPr>
        <w:t>low-cost materials, durability, and modular 3D-printed design</w:t>
      </w:r>
      <w:r>
        <w:t>. The possibility of home or local production and open-source sharing was seen as democratizing robotics, increasing access for lower-income communities, schools, and regions with limited infrastructure or electricity.</w:t>
      </w:r>
    </w:p>
    <w:p w:rsidR="007E1BEF" w:rsidRDefault="007E1BEF" w:rsidP="007E1BEF">
      <w:pPr>
        <w:pStyle w:val="StandardWeb"/>
        <w:numPr>
          <w:ilvl w:val="0"/>
          <w:numId w:val="3"/>
        </w:numPr>
      </w:pPr>
      <w:r>
        <w:rPr>
          <w:rStyle w:val="Fett"/>
        </w:rPr>
        <w:t>Education, skills, and social learning:</w:t>
      </w:r>
      <w:r>
        <w:t xml:space="preserve"> The SRW was viewed as a useful </w:t>
      </w:r>
      <w:r>
        <w:rPr>
          <w:rStyle w:val="Hervorhebung"/>
        </w:rPr>
        <w:t>educational and inspirational tool</w:t>
      </w:r>
      <w:r>
        <w:t>—for teaching robotics, biology-inspired movement, and engineering—helping build skills, curiosity, and future-oriented learning across diverse populations.</w:t>
      </w:r>
    </w:p>
    <w:p w:rsidR="007E1BEF" w:rsidRDefault="007E1BEF" w:rsidP="007E1BEF">
      <w:pPr>
        <w:pStyle w:val="StandardWeb"/>
        <w:numPr>
          <w:ilvl w:val="0"/>
          <w:numId w:val="3"/>
        </w:numPr>
      </w:pPr>
      <w:r>
        <w:rPr>
          <w:rStyle w:val="Fett"/>
        </w:rPr>
        <w:t>Reducing inequality and hazardous labor:</w:t>
      </w:r>
      <w:r>
        <w:t xml:space="preserve"> Some respondents noted that transferring dangerous, dirty, or repetitive jobs to robots could </w:t>
      </w:r>
      <w:r>
        <w:rPr>
          <w:rStyle w:val="Hervorhebung"/>
        </w:rPr>
        <w:t>reduce health risks</w:t>
      </w:r>
      <w:r>
        <w:t>, protect low-income or marginalized workers, and contribute to fairer labor conditions.</w:t>
      </w:r>
    </w:p>
    <w:p w:rsidR="007E1BEF" w:rsidRDefault="007E1BEF" w:rsidP="007E1BEF">
      <w:pPr>
        <w:pStyle w:val="StandardWeb"/>
        <w:numPr>
          <w:ilvl w:val="0"/>
          <w:numId w:val="3"/>
        </w:numPr>
      </w:pPr>
      <w:r>
        <w:rPr>
          <w:rStyle w:val="Fett"/>
        </w:rPr>
        <w:t>Caveats and disagreement:</w:t>
      </w:r>
      <w:r>
        <w:t xml:space="preserve"> A substantial minority struggled to see a clear link to social sustainability, viewing the SRW as “just another tool” or questioning its real-world </w:t>
      </w:r>
      <w:r>
        <w:lastRenderedPageBreak/>
        <w:t>relevance, equity of access (e.g. need for 3D printers or internet), and broader societal impact. Concerns were also raised about potential military uses or the technology not addressing deeper social problems.</w:t>
      </w:r>
    </w:p>
    <w:p w:rsidR="007E1BEF" w:rsidRDefault="007E1BEF" w:rsidP="007E1BEF">
      <w:pPr>
        <w:pStyle w:val="StandardWeb"/>
      </w:pPr>
      <w:r>
        <w:t xml:space="preserve">Overall, participants associated the SRW’s social sustainability primarily with </w:t>
      </w:r>
      <w:r>
        <w:rPr>
          <w:rStyle w:val="Fett"/>
        </w:rPr>
        <w:t>safety, inclusion, accessibility, and improved well-being</w:t>
      </w:r>
      <w:r>
        <w:t>, while remaining divided on how transformative or socially essential its impact would ultimately be.</w:t>
      </w:r>
    </w:p>
    <w:p w:rsidR="002C00D8" w:rsidRDefault="002C00D8" w:rsidP="002C00D8">
      <w:pPr>
        <w:pStyle w:val="StandardWeb"/>
      </w:pPr>
      <w:r w:rsidRPr="002C00D8">
        <w:rPr>
          <w:color w:val="FF0000"/>
        </w:rPr>
        <w:t>SDGs</w:t>
      </w:r>
      <w:r>
        <w:t>:</w:t>
      </w:r>
    </w:p>
    <w:p w:rsidR="007E1BEF" w:rsidRDefault="002C00D8">
      <w:r>
        <w:rPr>
          <w:noProof/>
        </w:rPr>
        <w:drawing>
          <wp:inline distT="0" distB="0" distL="0" distR="0" wp14:anchorId="6DF85B8A" wp14:editId="7197B0EC">
            <wp:extent cx="4399472" cy="3108536"/>
            <wp:effectExtent l="0" t="0" r="127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06679" cy="3113628"/>
                    </a:xfrm>
                    <a:prstGeom prst="rect">
                      <a:avLst/>
                    </a:prstGeom>
                  </pic:spPr>
                </pic:pic>
              </a:graphicData>
            </a:graphic>
          </wp:inline>
        </w:drawing>
      </w:r>
    </w:p>
    <w:p w:rsidR="002C00D8" w:rsidRPr="002C00D8" w:rsidRDefault="002C00D8" w:rsidP="002C00D8">
      <w:pPr>
        <w:spacing w:before="100" w:beforeAutospacing="1" w:after="100" w:afterAutospacing="1" w:line="240" w:lineRule="auto"/>
        <w:rPr>
          <w:rFonts w:ascii="Times New Roman" w:eastAsia="Times New Roman" w:hAnsi="Times New Roman" w:cs="Times New Roman"/>
          <w:sz w:val="24"/>
          <w:szCs w:val="24"/>
        </w:rPr>
      </w:pPr>
      <w:r w:rsidRPr="002C00D8">
        <w:rPr>
          <w:rFonts w:ascii="Times New Roman" w:eastAsia="Times New Roman" w:hAnsi="Times New Roman" w:cs="Times New Roman"/>
          <w:sz w:val="24"/>
          <w:szCs w:val="24"/>
        </w:rPr>
        <w:t xml:space="preserve">Based on the chart, participants most strongly associated their </w:t>
      </w:r>
      <w:r w:rsidRPr="002C00D8">
        <w:rPr>
          <w:rFonts w:ascii="Times New Roman" w:eastAsia="Times New Roman" w:hAnsi="Times New Roman" w:cs="Times New Roman"/>
          <w:b/>
          <w:bCs/>
          <w:sz w:val="24"/>
          <w:szCs w:val="24"/>
        </w:rPr>
        <w:t>social sustainability reflections</w:t>
      </w:r>
      <w:r w:rsidRPr="002C00D8">
        <w:rPr>
          <w:rFonts w:ascii="Times New Roman" w:eastAsia="Times New Roman" w:hAnsi="Times New Roman" w:cs="Times New Roman"/>
          <w:sz w:val="24"/>
          <w:szCs w:val="24"/>
        </w:rPr>
        <w:t xml:space="preserve"> with the following Sustainable Development Goals:</w:t>
      </w:r>
    </w:p>
    <w:p w:rsidR="002C00D8" w:rsidRPr="002C00D8" w:rsidRDefault="002C00D8" w:rsidP="002C00D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C00D8">
        <w:rPr>
          <w:rFonts w:ascii="Times New Roman" w:eastAsia="Times New Roman" w:hAnsi="Times New Roman" w:cs="Times New Roman"/>
          <w:b/>
          <w:bCs/>
          <w:sz w:val="24"/>
          <w:szCs w:val="24"/>
        </w:rPr>
        <w:t>SDG 10 – Reduced Inequalities</w:t>
      </w:r>
      <w:r w:rsidRPr="002C00D8">
        <w:rPr>
          <w:rFonts w:ascii="Times New Roman" w:eastAsia="Times New Roman" w:hAnsi="Times New Roman" w:cs="Times New Roman"/>
          <w:sz w:val="24"/>
          <w:szCs w:val="24"/>
        </w:rPr>
        <w:t xml:space="preserve"> (highest overall)</w:t>
      </w:r>
    </w:p>
    <w:p w:rsidR="002C00D8" w:rsidRPr="002C00D8" w:rsidRDefault="002C00D8" w:rsidP="002C00D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C00D8">
        <w:rPr>
          <w:rFonts w:ascii="Times New Roman" w:eastAsia="Times New Roman" w:hAnsi="Times New Roman" w:cs="Times New Roman"/>
          <w:b/>
          <w:bCs/>
          <w:sz w:val="24"/>
          <w:szCs w:val="24"/>
        </w:rPr>
        <w:t>SDG 3 – Good Health and Well-Being</w:t>
      </w:r>
    </w:p>
    <w:p w:rsidR="002C00D8" w:rsidRPr="002C00D8" w:rsidRDefault="002C00D8" w:rsidP="002C00D8">
      <w:pPr>
        <w:spacing w:before="100" w:beforeAutospacing="1" w:after="100" w:afterAutospacing="1" w:line="240" w:lineRule="auto"/>
        <w:rPr>
          <w:rFonts w:ascii="Times New Roman" w:eastAsia="Times New Roman" w:hAnsi="Times New Roman" w:cs="Times New Roman"/>
          <w:sz w:val="24"/>
          <w:szCs w:val="24"/>
        </w:rPr>
      </w:pPr>
      <w:r w:rsidRPr="002C00D8">
        <w:rPr>
          <w:rFonts w:ascii="Times New Roman" w:eastAsia="Times New Roman" w:hAnsi="Times New Roman" w:cs="Times New Roman"/>
          <w:sz w:val="24"/>
          <w:szCs w:val="24"/>
        </w:rPr>
        <w:t>These were followed by a clear secondary group:</w:t>
      </w:r>
    </w:p>
    <w:p w:rsidR="002C00D8" w:rsidRPr="002C00D8" w:rsidRDefault="002C00D8" w:rsidP="002C00D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C00D8">
        <w:rPr>
          <w:rFonts w:ascii="Times New Roman" w:eastAsia="Times New Roman" w:hAnsi="Times New Roman" w:cs="Times New Roman"/>
          <w:b/>
          <w:bCs/>
          <w:sz w:val="24"/>
          <w:szCs w:val="24"/>
        </w:rPr>
        <w:t>SDG 16 – Peace, Justice and Strong Institutions</w:t>
      </w:r>
    </w:p>
    <w:p w:rsidR="002C00D8" w:rsidRPr="002C00D8" w:rsidRDefault="002C00D8" w:rsidP="002C00D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C00D8">
        <w:rPr>
          <w:rFonts w:ascii="Times New Roman" w:eastAsia="Times New Roman" w:hAnsi="Times New Roman" w:cs="Times New Roman"/>
          <w:b/>
          <w:bCs/>
          <w:sz w:val="24"/>
          <w:szCs w:val="24"/>
        </w:rPr>
        <w:t>SDG 9 – Industry, Innovation and Infrastructure</w:t>
      </w:r>
    </w:p>
    <w:p w:rsidR="002C00D8" w:rsidRPr="002C00D8" w:rsidRDefault="002C00D8" w:rsidP="002C00D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C00D8">
        <w:rPr>
          <w:rFonts w:ascii="Times New Roman" w:eastAsia="Times New Roman" w:hAnsi="Times New Roman" w:cs="Times New Roman"/>
          <w:b/>
          <w:bCs/>
          <w:sz w:val="24"/>
          <w:szCs w:val="24"/>
        </w:rPr>
        <w:t>SDG 1 – No Poverty</w:t>
      </w:r>
    </w:p>
    <w:p w:rsidR="002C00D8" w:rsidRPr="002C00D8" w:rsidRDefault="002C00D8" w:rsidP="002C00D8">
      <w:pPr>
        <w:spacing w:before="100" w:beforeAutospacing="1" w:after="100" w:afterAutospacing="1" w:line="240" w:lineRule="auto"/>
        <w:rPr>
          <w:rFonts w:ascii="Times New Roman" w:eastAsia="Times New Roman" w:hAnsi="Times New Roman" w:cs="Times New Roman"/>
          <w:sz w:val="24"/>
          <w:szCs w:val="24"/>
        </w:rPr>
      </w:pPr>
      <w:r w:rsidRPr="002C00D8">
        <w:rPr>
          <w:rFonts w:ascii="Times New Roman" w:eastAsia="Times New Roman" w:hAnsi="Times New Roman" w:cs="Times New Roman"/>
          <w:sz w:val="24"/>
          <w:szCs w:val="24"/>
        </w:rPr>
        <w:t xml:space="preserve">Lower but still present associations appeared for </w:t>
      </w:r>
      <w:r w:rsidRPr="002C00D8">
        <w:rPr>
          <w:rFonts w:ascii="Times New Roman" w:eastAsia="Times New Roman" w:hAnsi="Times New Roman" w:cs="Times New Roman"/>
          <w:b/>
          <w:bCs/>
          <w:sz w:val="24"/>
          <w:szCs w:val="24"/>
        </w:rPr>
        <w:t>SDG 4 (Quality Education)</w:t>
      </w:r>
      <w:r w:rsidRPr="002C00D8">
        <w:rPr>
          <w:rFonts w:ascii="Times New Roman" w:eastAsia="Times New Roman" w:hAnsi="Times New Roman" w:cs="Times New Roman"/>
          <w:sz w:val="24"/>
          <w:szCs w:val="24"/>
        </w:rPr>
        <w:t xml:space="preserve">, </w:t>
      </w:r>
      <w:r w:rsidRPr="002C00D8">
        <w:rPr>
          <w:rFonts w:ascii="Times New Roman" w:eastAsia="Times New Roman" w:hAnsi="Times New Roman" w:cs="Times New Roman"/>
          <w:b/>
          <w:bCs/>
          <w:sz w:val="24"/>
          <w:szCs w:val="24"/>
        </w:rPr>
        <w:t>SDG 11 (Sustainable Cities and Communities)</w:t>
      </w:r>
      <w:r w:rsidRPr="002C00D8">
        <w:rPr>
          <w:rFonts w:ascii="Times New Roman" w:eastAsia="Times New Roman" w:hAnsi="Times New Roman" w:cs="Times New Roman"/>
          <w:sz w:val="24"/>
          <w:szCs w:val="24"/>
        </w:rPr>
        <w:t xml:space="preserve">, and </w:t>
      </w:r>
      <w:r w:rsidRPr="002C00D8">
        <w:rPr>
          <w:rFonts w:ascii="Times New Roman" w:eastAsia="Times New Roman" w:hAnsi="Times New Roman" w:cs="Times New Roman"/>
          <w:b/>
          <w:bCs/>
          <w:sz w:val="24"/>
          <w:szCs w:val="24"/>
        </w:rPr>
        <w:t>SDG 12 (Responsible Consumption and Production)</w:t>
      </w:r>
      <w:r w:rsidRPr="002C00D8">
        <w:rPr>
          <w:rFonts w:ascii="Times New Roman" w:eastAsia="Times New Roman" w:hAnsi="Times New Roman" w:cs="Times New Roman"/>
          <w:sz w:val="24"/>
          <w:szCs w:val="24"/>
        </w:rPr>
        <w:t>.</w:t>
      </w:r>
    </w:p>
    <w:p w:rsidR="002C00D8" w:rsidRPr="002C00D8" w:rsidRDefault="002C00D8" w:rsidP="002C00D8">
      <w:pPr>
        <w:spacing w:before="100" w:beforeAutospacing="1" w:after="100" w:afterAutospacing="1" w:line="240" w:lineRule="auto"/>
        <w:rPr>
          <w:rFonts w:ascii="Times New Roman" w:eastAsia="Times New Roman" w:hAnsi="Times New Roman" w:cs="Times New Roman"/>
          <w:sz w:val="24"/>
          <w:szCs w:val="24"/>
        </w:rPr>
      </w:pPr>
      <w:r w:rsidRPr="002C00D8">
        <w:rPr>
          <w:rFonts w:ascii="Times New Roman" w:eastAsia="Times New Roman" w:hAnsi="Times New Roman" w:cs="Times New Roman"/>
          <w:sz w:val="24"/>
          <w:szCs w:val="24"/>
        </w:rPr>
        <w:t xml:space="preserve">Overall, the pattern indicates that participants primarily framed the </w:t>
      </w:r>
      <w:r w:rsidRPr="002C00D8">
        <w:rPr>
          <w:rFonts w:ascii="Times New Roman" w:eastAsia="Times New Roman" w:hAnsi="Times New Roman" w:cs="Times New Roman"/>
          <w:b/>
          <w:bCs/>
          <w:sz w:val="24"/>
          <w:szCs w:val="24"/>
        </w:rPr>
        <w:t>social impact of the Soft Robot Walker</w:t>
      </w:r>
      <w:r w:rsidRPr="002C00D8">
        <w:rPr>
          <w:rFonts w:ascii="Times New Roman" w:eastAsia="Times New Roman" w:hAnsi="Times New Roman" w:cs="Times New Roman"/>
          <w:sz w:val="24"/>
          <w:szCs w:val="24"/>
        </w:rPr>
        <w:t xml:space="preserve"> in terms of </w:t>
      </w:r>
      <w:r w:rsidRPr="002C00D8">
        <w:rPr>
          <w:rFonts w:ascii="Times New Roman" w:eastAsia="Times New Roman" w:hAnsi="Times New Roman" w:cs="Times New Roman"/>
          <w:b/>
          <w:bCs/>
          <w:sz w:val="24"/>
          <w:szCs w:val="24"/>
        </w:rPr>
        <w:t>health and well-being, inclusion and equity, social protection, and safer societal structures</w:t>
      </w:r>
      <w:r w:rsidRPr="002C00D8">
        <w:rPr>
          <w:rFonts w:ascii="Times New Roman" w:eastAsia="Times New Roman" w:hAnsi="Times New Roman" w:cs="Times New Roman"/>
          <w:sz w:val="24"/>
          <w:szCs w:val="24"/>
        </w:rPr>
        <w:t>, rather than education or consumption-focused goals.</w:t>
      </w:r>
    </w:p>
    <w:p w:rsidR="002C00D8" w:rsidRDefault="002C00D8"/>
    <w:p w:rsidR="002C00D8" w:rsidRDefault="002C00D8"/>
    <w:p w:rsidR="007E1BEF" w:rsidRDefault="007E1BEF" w:rsidP="007E1BEF">
      <w:pPr>
        <w:pStyle w:val="StandardWeb"/>
      </w:pPr>
      <w:r>
        <w:rPr>
          <w:rStyle w:val="Fett"/>
        </w:rPr>
        <w:t xml:space="preserve">Concise summary of </w:t>
      </w:r>
      <w:r w:rsidRPr="007E1BEF">
        <w:rPr>
          <w:rStyle w:val="Fett"/>
          <w:highlight w:val="yellow"/>
        </w:rPr>
        <w:t>participants’ reflections on the economic aspect of sustainability</w:t>
      </w:r>
    </w:p>
    <w:p w:rsidR="007E1BEF" w:rsidRDefault="007E1BEF" w:rsidP="007E1BEF">
      <w:pPr>
        <w:pStyle w:val="StandardWeb"/>
      </w:pPr>
      <w:r>
        <w:t xml:space="preserve">Participants most often framed the Soft Robot Walker (SRW) as economically sustainable due to </w:t>
      </w:r>
      <w:r>
        <w:rPr>
          <w:rStyle w:val="Fett"/>
        </w:rPr>
        <w:t>lower costs, easier production, and broader usability</w:t>
      </w:r>
      <w:r>
        <w:t>, with some concerns about real-world trade-offs:</w:t>
      </w:r>
    </w:p>
    <w:p w:rsidR="007E1BEF" w:rsidRDefault="007E1BEF" w:rsidP="007E1BEF">
      <w:pPr>
        <w:pStyle w:val="StandardWeb"/>
        <w:numPr>
          <w:ilvl w:val="0"/>
          <w:numId w:val="4"/>
        </w:numPr>
      </w:pPr>
      <w:r>
        <w:rPr>
          <w:rStyle w:val="Fett"/>
        </w:rPr>
        <w:t>Low-cost, decentralized production:</w:t>
      </w:r>
      <w:r>
        <w:t xml:space="preserve"> The strongest theme was that </w:t>
      </w:r>
      <w:r>
        <w:rPr>
          <w:rStyle w:val="Fett"/>
        </w:rPr>
        <w:t>3D printing and modular parts</w:t>
      </w:r>
      <w:r>
        <w:t xml:space="preserve"> reduce barriers to entry, enabling cheaper manufacturing (even at home or locally), faster prototyping/iteration, and potentially lower shipping/supply-chain costs.</w:t>
      </w:r>
    </w:p>
    <w:p w:rsidR="007E1BEF" w:rsidRDefault="007E1BEF" w:rsidP="007E1BEF">
      <w:pPr>
        <w:pStyle w:val="StandardWeb"/>
        <w:numPr>
          <w:ilvl w:val="0"/>
          <w:numId w:val="4"/>
        </w:numPr>
      </w:pPr>
      <w:r>
        <w:rPr>
          <w:rStyle w:val="Fett"/>
        </w:rPr>
        <w:t>Lower operating and maintenance costs:</w:t>
      </w:r>
      <w:r>
        <w:t xml:space="preserve"> Many linked economic resilience to the SRW’s </w:t>
      </w:r>
      <w:r>
        <w:rPr>
          <w:rStyle w:val="Fett"/>
        </w:rPr>
        <w:t>compressed-air actuation</w:t>
      </w:r>
      <w:r>
        <w:t xml:space="preserve"> and reduced mechanical complexity (no electronics/batteries), expecting </w:t>
      </w:r>
      <w:r>
        <w:rPr>
          <w:rStyle w:val="Fett"/>
        </w:rPr>
        <w:t>lower energy costs</w:t>
      </w:r>
      <w:r>
        <w:t xml:space="preserve">, </w:t>
      </w:r>
      <w:r>
        <w:rPr>
          <w:rStyle w:val="Fett"/>
        </w:rPr>
        <w:t>less wear-and-tear</w:t>
      </w:r>
      <w:r>
        <w:t>, longer lifespans, and cheaper repair/part replacement.</w:t>
      </w:r>
    </w:p>
    <w:p w:rsidR="007E1BEF" w:rsidRDefault="007E1BEF" w:rsidP="007E1BEF">
      <w:pPr>
        <w:pStyle w:val="StandardWeb"/>
        <w:numPr>
          <w:ilvl w:val="0"/>
          <w:numId w:val="4"/>
        </w:numPr>
      </w:pPr>
      <w:r>
        <w:rPr>
          <w:rStyle w:val="Fett"/>
        </w:rPr>
        <w:t>Productivity and new economic opportunities:</w:t>
      </w:r>
      <w:r>
        <w:t xml:space="preserve"> Respondents frequently suggested the SRW could improve productivity across sectors (industry, healthcare, hazardous work) by doing tasks that are risky, repetitive, or difficult for humans/rigid robots—while also enabling </w:t>
      </w:r>
      <w:r>
        <w:rPr>
          <w:rStyle w:val="Fett"/>
        </w:rPr>
        <w:t>new markets, innovation, and employment</w:t>
      </w:r>
      <w:r>
        <w:t xml:space="preserve"> in development, manufacturing, customization, and services.</w:t>
      </w:r>
    </w:p>
    <w:p w:rsidR="007E1BEF" w:rsidRDefault="007E1BEF" w:rsidP="007E1BEF">
      <w:pPr>
        <w:pStyle w:val="StandardWeb"/>
        <w:numPr>
          <w:ilvl w:val="0"/>
          <w:numId w:val="4"/>
        </w:numPr>
      </w:pPr>
      <w:r>
        <w:rPr>
          <w:rStyle w:val="Fett"/>
        </w:rPr>
        <w:t>Equity and access:</w:t>
      </w:r>
      <w:r>
        <w:t xml:space="preserve"> Some argued that lower costs could make robotics more accessible to </w:t>
      </w:r>
      <w:r>
        <w:rPr>
          <w:rStyle w:val="Fett"/>
        </w:rPr>
        <w:t>small businesses, schools, and lower-income regions</w:t>
      </w:r>
      <w:r>
        <w:t>, supporting more inclusive economic participation (e.g., enabling disabled people to work, or reducing care burdens).</w:t>
      </w:r>
    </w:p>
    <w:p w:rsidR="007E1BEF" w:rsidRDefault="007E1BEF" w:rsidP="007E1BEF">
      <w:pPr>
        <w:pStyle w:val="StandardWeb"/>
        <w:numPr>
          <w:ilvl w:val="0"/>
          <w:numId w:val="4"/>
        </w:numPr>
      </w:pPr>
      <w:r>
        <w:rPr>
          <w:rStyle w:val="Fett"/>
        </w:rPr>
        <w:t>Caveats and disagreements:</w:t>
      </w:r>
      <w:r>
        <w:t xml:space="preserve"> A notable minority were unsure or skeptical, raising points about </w:t>
      </w:r>
      <w:r>
        <w:rPr>
          <w:rStyle w:val="Fett"/>
        </w:rPr>
        <w:t>hidden energy costs</w:t>
      </w:r>
      <w:r>
        <w:t xml:space="preserve"> (air compression, 3D printing), </w:t>
      </w:r>
      <w:r>
        <w:rPr>
          <w:rStyle w:val="Fett"/>
        </w:rPr>
        <w:t>plastics/polymers</w:t>
      </w:r>
      <w:r>
        <w:t xml:space="preserve">, unclear use cases, profit-driven commercialization, and potential </w:t>
      </w:r>
      <w:r>
        <w:rPr>
          <w:rStyle w:val="Fett"/>
        </w:rPr>
        <w:t>job displacement</w:t>
      </w:r>
      <w:r>
        <w:t xml:space="preserve"> if robots substitute human labor.</w:t>
      </w:r>
    </w:p>
    <w:p w:rsidR="007E1BEF" w:rsidRDefault="007E1BEF" w:rsidP="007E1BEF">
      <w:pPr>
        <w:pStyle w:val="StandardWeb"/>
      </w:pPr>
      <w:r>
        <w:t xml:space="preserve">Overall, participants associated economic sustainability mainly with </w:t>
      </w:r>
      <w:r>
        <w:rPr>
          <w:rStyle w:val="Fett"/>
        </w:rPr>
        <w:t>affordability, durability, and adaptability</w:t>
      </w:r>
      <w:r>
        <w:t>, while acknowledging uncertainty about lifecycle costs, adoption, and labor impacts.</w:t>
      </w:r>
    </w:p>
    <w:p w:rsidR="007E1BEF" w:rsidRDefault="007E1BEF"/>
    <w:p w:rsidR="002C00D8" w:rsidRDefault="002C00D8" w:rsidP="002C00D8">
      <w:pPr>
        <w:pStyle w:val="StandardWeb"/>
      </w:pPr>
      <w:r w:rsidRPr="002C00D8">
        <w:rPr>
          <w:color w:val="FF0000"/>
        </w:rPr>
        <w:t>SDGs</w:t>
      </w:r>
      <w:r>
        <w:t>:</w:t>
      </w:r>
    </w:p>
    <w:p w:rsidR="002C00D8" w:rsidRDefault="002C00D8">
      <w:r>
        <w:rPr>
          <w:noProof/>
        </w:rPr>
        <w:lastRenderedPageBreak/>
        <w:drawing>
          <wp:inline distT="0" distB="0" distL="0" distR="0" wp14:anchorId="06604670" wp14:editId="14C40082">
            <wp:extent cx="3632420" cy="2605178"/>
            <wp:effectExtent l="0" t="0" r="6350" b="508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40137" cy="2610713"/>
                    </a:xfrm>
                    <a:prstGeom prst="rect">
                      <a:avLst/>
                    </a:prstGeom>
                  </pic:spPr>
                </pic:pic>
              </a:graphicData>
            </a:graphic>
          </wp:inline>
        </w:drawing>
      </w:r>
    </w:p>
    <w:p w:rsidR="002C00D8" w:rsidRPr="002C00D8" w:rsidRDefault="002C00D8" w:rsidP="002C00D8">
      <w:pPr>
        <w:spacing w:before="100" w:beforeAutospacing="1" w:after="100" w:afterAutospacing="1" w:line="240" w:lineRule="auto"/>
        <w:rPr>
          <w:rFonts w:ascii="Times New Roman" w:eastAsia="Times New Roman" w:hAnsi="Times New Roman" w:cs="Times New Roman"/>
          <w:sz w:val="24"/>
          <w:szCs w:val="24"/>
        </w:rPr>
      </w:pPr>
      <w:r w:rsidRPr="002C00D8">
        <w:rPr>
          <w:rFonts w:ascii="Times New Roman" w:eastAsia="Times New Roman" w:hAnsi="Times New Roman" w:cs="Times New Roman"/>
          <w:sz w:val="24"/>
          <w:szCs w:val="24"/>
        </w:rPr>
        <w:t xml:space="preserve">Based on the chart, participants most strongly associated their </w:t>
      </w:r>
      <w:r w:rsidRPr="002C00D8">
        <w:rPr>
          <w:rFonts w:ascii="Times New Roman" w:eastAsia="Times New Roman" w:hAnsi="Times New Roman" w:cs="Times New Roman"/>
          <w:b/>
          <w:bCs/>
          <w:sz w:val="24"/>
          <w:szCs w:val="24"/>
        </w:rPr>
        <w:t>economic sustainability reflections</w:t>
      </w:r>
      <w:r w:rsidRPr="002C00D8">
        <w:rPr>
          <w:rFonts w:ascii="Times New Roman" w:eastAsia="Times New Roman" w:hAnsi="Times New Roman" w:cs="Times New Roman"/>
          <w:sz w:val="24"/>
          <w:szCs w:val="24"/>
        </w:rPr>
        <w:t xml:space="preserve"> with the following Sustainable Development Goals:</w:t>
      </w:r>
    </w:p>
    <w:p w:rsidR="002C00D8" w:rsidRPr="002C00D8" w:rsidRDefault="002C00D8" w:rsidP="002C00D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C00D8">
        <w:rPr>
          <w:rFonts w:ascii="Times New Roman" w:eastAsia="Times New Roman" w:hAnsi="Times New Roman" w:cs="Times New Roman"/>
          <w:b/>
          <w:bCs/>
          <w:sz w:val="24"/>
          <w:szCs w:val="24"/>
        </w:rPr>
        <w:t>SDG 9 – Industry, Innovation and Infrastructure</w:t>
      </w:r>
      <w:r w:rsidRPr="002C00D8">
        <w:rPr>
          <w:rFonts w:ascii="Times New Roman" w:eastAsia="Times New Roman" w:hAnsi="Times New Roman" w:cs="Times New Roman"/>
          <w:sz w:val="24"/>
          <w:szCs w:val="24"/>
        </w:rPr>
        <w:t xml:space="preserve"> (clearly the highest)</w:t>
      </w:r>
    </w:p>
    <w:p w:rsidR="002C00D8" w:rsidRPr="002C00D8" w:rsidRDefault="002C00D8" w:rsidP="002C00D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C00D8">
        <w:rPr>
          <w:rFonts w:ascii="Times New Roman" w:eastAsia="Times New Roman" w:hAnsi="Times New Roman" w:cs="Times New Roman"/>
          <w:b/>
          <w:bCs/>
          <w:sz w:val="24"/>
          <w:szCs w:val="24"/>
        </w:rPr>
        <w:t>SDG 8 – Decent Work and Economic Growth</w:t>
      </w:r>
    </w:p>
    <w:p w:rsidR="002C00D8" w:rsidRPr="002C00D8" w:rsidRDefault="002C00D8" w:rsidP="002C00D8">
      <w:pPr>
        <w:spacing w:before="100" w:beforeAutospacing="1" w:after="100" w:afterAutospacing="1" w:line="240" w:lineRule="auto"/>
        <w:rPr>
          <w:rFonts w:ascii="Times New Roman" w:eastAsia="Times New Roman" w:hAnsi="Times New Roman" w:cs="Times New Roman"/>
          <w:sz w:val="24"/>
          <w:szCs w:val="24"/>
        </w:rPr>
      </w:pPr>
      <w:r w:rsidRPr="002C00D8">
        <w:rPr>
          <w:rFonts w:ascii="Times New Roman" w:eastAsia="Times New Roman" w:hAnsi="Times New Roman" w:cs="Times New Roman"/>
          <w:sz w:val="24"/>
          <w:szCs w:val="24"/>
        </w:rPr>
        <w:t>A secondary cluster of relevance appears for:</w:t>
      </w:r>
    </w:p>
    <w:p w:rsidR="002C00D8" w:rsidRPr="002C00D8" w:rsidRDefault="002C00D8" w:rsidP="002C00D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C00D8">
        <w:rPr>
          <w:rFonts w:ascii="Times New Roman" w:eastAsia="Times New Roman" w:hAnsi="Times New Roman" w:cs="Times New Roman"/>
          <w:b/>
          <w:bCs/>
          <w:sz w:val="24"/>
          <w:szCs w:val="24"/>
        </w:rPr>
        <w:t>SDG 7 – Affordable and Clean Energy</w:t>
      </w:r>
      <w:bookmarkStart w:id="0" w:name="_GoBack"/>
      <w:bookmarkEnd w:id="0"/>
    </w:p>
    <w:p w:rsidR="002C00D8" w:rsidRPr="002C00D8" w:rsidRDefault="002C00D8" w:rsidP="002C00D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C00D8">
        <w:rPr>
          <w:rFonts w:ascii="Times New Roman" w:eastAsia="Times New Roman" w:hAnsi="Times New Roman" w:cs="Times New Roman"/>
          <w:b/>
          <w:bCs/>
          <w:sz w:val="24"/>
          <w:szCs w:val="24"/>
        </w:rPr>
        <w:t>SDG 12 – Responsible Consumption and Production</w:t>
      </w:r>
    </w:p>
    <w:p w:rsidR="002C00D8" w:rsidRPr="002C00D8" w:rsidRDefault="002C00D8" w:rsidP="002C00D8">
      <w:pPr>
        <w:spacing w:before="100" w:beforeAutospacing="1" w:after="100" w:afterAutospacing="1" w:line="240" w:lineRule="auto"/>
        <w:rPr>
          <w:rFonts w:ascii="Times New Roman" w:eastAsia="Times New Roman" w:hAnsi="Times New Roman" w:cs="Times New Roman"/>
          <w:sz w:val="24"/>
          <w:szCs w:val="24"/>
        </w:rPr>
      </w:pPr>
      <w:r w:rsidRPr="002C00D8">
        <w:rPr>
          <w:rFonts w:ascii="Times New Roman" w:eastAsia="Times New Roman" w:hAnsi="Times New Roman" w:cs="Times New Roman"/>
          <w:sz w:val="24"/>
          <w:szCs w:val="24"/>
        </w:rPr>
        <w:t xml:space="preserve">Lower-frequency associations were observed for </w:t>
      </w:r>
      <w:r w:rsidRPr="002C00D8">
        <w:rPr>
          <w:rFonts w:ascii="Times New Roman" w:eastAsia="Times New Roman" w:hAnsi="Times New Roman" w:cs="Times New Roman"/>
          <w:b/>
          <w:bCs/>
          <w:sz w:val="24"/>
          <w:szCs w:val="24"/>
        </w:rPr>
        <w:t>SDG 3 (Good Health and Well-Being)</w:t>
      </w:r>
      <w:r w:rsidRPr="002C00D8">
        <w:rPr>
          <w:rFonts w:ascii="Times New Roman" w:eastAsia="Times New Roman" w:hAnsi="Times New Roman" w:cs="Times New Roman"/>
          <w:sz w:val="24"/>
          <w:szCs w:val="24"/>
        </w:rPr>
        <w:t xml:space="preserve">, </w:t>
      </w:r>
      <w:r w:rsidRPr="002C00D8">
        <w:rPr>
          <w:rFonts w:ascii="Times New Roman" w:eastAsia="Times New Roman" w:hAnsi="Times New Roman" w:cs="Times New Roman"/>
          <w:b/>
          <w:bCs/>
          <w:sz w:val="24"/>
          <w:szCs w:val="24"/>
        </w:rPr>
        <w:t>SDG 11 (Sustainable Cities and Communities)</w:t>
      </w:r>
      <w:r w:rsidRPr="002C00D8">
        <w:rPr>
          <w:rFonts w:ascii="Times New Roman" w:eastAsia="Times New Roman" w:hAnsi="Times New Roman" w:cs="Times New Roman"/>
          <w:sz w:val="24"/>
          <w:szCs w:val="24"/>
        </w:rPr>
        <w:t xml:space="preserve">, and </w:t>
      </w:r>
      <w:r w:rsidRPr="002C00D8">
        <w:rPr>
          <w:rFonts w:ascii="Times New Roman" w:eastAsia="Times New Roman" w:hAnsi="Times New Roman" w:cs="Times New Roman"/>
          <w:b/>
          <w:bCs/>
          <w:sz w:val="24"/>
          <w:szCs w:val="24"/>
        </w:rPr>
        <w:t>SDG 15 (Life on Land)</w:t>
      </w:r>
      <w:r w:rsidRPr="002C00D8">
        <w:rPr>
          <w:rFonts w:ascii="Times New Roman" w:eastAsia="Times New Roman" w:hAnsi="Times New Roman" w:cs="Times New Roman"/>
          <w:sz w:val="24"/>
          <w:szCs w:val="24"/>
        </w:rPr>
        <w:t>.</w:t>
      </w:r>
    </w:p>
    <w:p w:rsidR="002C00D8" w:rsidRPr="002C00D8" w:rsidRDefault="002C00D8" w:rsidP="002C00D8">
      <w:pPr>
        <w:spacing w:before="100" w:beforeAutospacing="1" w:after="100" w:afterAutospacing="1" w:line="240" w:lineRule="auto"/>
        <w:rPr>
          <w:rFonts w:ascii="Times New Roman" w:eastAsia="Times New Roman" w:hAnsi="Times New Roman" w:cs="Times New Roman"/>
          <w:sz w:val="24"/>
          <w:szCs w:val="24"/>
        </w:rPr>
      </w:pPr>
      <w:r w:rsidRPr="002C00D8">
        <w:rPr>
          <w:rFonts w:ascii="Times New Roman" w:eastAsia="Times New Roman" w:hAnsi="Times New Roman" w:cs="Times New Roman"/>
          <w:sz w:val="24"/>
          <w:szCs w:val="24"/>
        </w:rPr>
        <w:t xml:space="preserve">Overall, the pattern indicates that participants primarily framed the </w:t>
      </w:r>
      <w:r w:rsidRPr="002C00D8">
        <w:rPr>
          <w:rFonts w:ascii="Times New Roman" w:eastAsia="Times New Roman" w:hAnsi="Times New Roman" w:cs="Times New Roman"/>
          <w:b/>
          <w:bCs/>
          <w:sz w:val="24"/>
          <w:szCs w:val="24"/>
        </w:rPr>
        <w:t>economic sustainability</w:t>
      </w:r>
      <w:r w:rsidRPr="002C00D8">
        <w:rPr>
          <w:rFonts w:ascii="Times New Roman" w:eastAsia="Times New Roman" w:hAnsi="Times New Roman" w:cs="Times New Roman"/>
          <w:sz w:val="24"/>
          <w:szCs w:val="24"/>
        </w:rPr>
        <w:t xml:space="preserve"> of the Soft Robot Walker around </w:t>
      </w:r>
      <w:r w:rsidRPr="002C00D8">
        <w:rPr>
          <w:rFonts w:ascii="Times New Roman" w:eastAsia="Times New Roman" w:hAnsi="Times New Roman" w:cs="Times New Roman"/>
          <w:b/>
          <w:bCs/>
          <w:sz w:val="24"/>
          <w:szCs w:val="24"/>
        </w:rPr>
        <w:t>innovation-driven growth, productivity, affordability, and reduced production and operating costs</w:t>
      </w:r>
      <w:r w:rsidRPr="002C00D8">
        <w:rPr>
          <w:rFonts w:ascii="Times New Roman" w:eastAsia="Times New Roman" w:hAnsi="Times New Roman" w:cs="Times New Roman"/>
          <w:sz w:val="24"/>
          <w:szCs w:val="24"/>
        </w:rPr>
        <w:t>, rather than broader social or environmental economic spillovers.</w:t>
      </w:r>
    </w:p>
    <w:p w:rsidR="002C00D8" w:rsidRDefault="002C00D8"/>
    <w:sectPr w:rsidR="002C00D8" w:rsidSect="00BB6B2E">
      <w:pgSz w:w="12240" w:h="15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D052B"/>
    <w:multiLevelType w:val="multilevel"/>
    <w:tmpl w:val="F0D0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65653"/>
    <w:multiLevelType w:val="multilevel"/>
    <w:tmpl w:val="12BC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071B7"/>
    <w:multiLevelType w:val="multilevel"/>
    <w:tmpl w:val="9BB6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EC7B67"/>
    <w:multiLevelType w:val="multilevel"/>
    <w:tmpl w:val="CE4C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D35384"/>
    <w:multiLevelType w:val="multilevel"/>
    <w:tmpl w:val="6FE2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BA496F"/>
    <w:multiLevelType w:val="multilevel"/>
    <w:tmpl w:val="C3CA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1769C4"/>
    <w:multiLevelType w:val="multilevel"/>
    <w:tmpl w:val="BA1C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6B1AC7"/>
    <w:multiLevelType w:val="multilevel"/>
    <w:tmpl w:val="17300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B0073F"/>
    <w:multiLevelType w:val="multilevel"/>
    <w:tmpl w:val="612C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497C40"/>
    <w:multiLevelType w:val="multilevel"/>
    <w:tmpl w:val="D120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2"/>
  </w:num>
  <w:num w:numId="4">
    <w:abstractNumId w:val="9"/>
  </w:num>
  <w:num w:numId="5">
    <w:abstractNumId w:val="6"/>
  </w:num>
  <w:num w:numId="6">
    <w:abstractNumId w:val="5"/>
  </w:num>
  <w:num w:numId="7">
    <w:abstractNumId w:val="8"/>
  </w:num>
  <w:num w:numId="8">
    <w:abstractNumId w:val="0"/>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BEF"/>
    <w:rsid w:val="00117594"/>
    <w:rsid w:val="002C00D8"/>
    <w:rsid w:val="007E1BEF"/>
    <w:rsid w:val="00BB6B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C211"/>
  <w15:chartTrackingRefBased/>
  <w15:docId w15:val="{5442AC40-EDE9-4009-A929-B62BFBD65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7E1BEF"/>
    <w:pPr>
      <w:spacing w:before="100" w:beforeAutospacing="1" w:after="100" w:afterAutospacing="1" w:line="240" w:lineRule="auto"/>
    </w:pPr>
    <w:rPr>
      <w:rFonts w:ascii="Times New Roman" w:eastAsia="Times New Roman" w:hAnsi="Times New Roman" w:cs="Times New Roman"/>
      <w:sz w:val="24"/>
      <w:szCs w:val="24"/>
    </w:rPr>
  </w:style>
  <w:style w:type="character" w:styleId="Fett">
    <w:name w:val="Strong"/>
    <w:basedOn w:val="Absatz-Standardschriftart"/>
    <w:uiPriority w:val="22"/>
    <w:qFormat/>
    <w:rsid w:val="007E1BEF"/>
    <w:rPr>
      <w:b/>
      <w:bCs/>
    </w:rPr>
  </w:style>
  <w:style w:type="character" w:styleId="Hervorhebung">
    <w:name w:val="Emphasis"/>
    <w:basedOn w:val="Absatz-Standardschriftart"/>
    <w:uiPriority w:val="20"/>
    <w:qFormat/>
    <w:rsid w:val="007E1BE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8379735">
      <w:bodyDiv w:val="1"/>
      <w:marLeft w:val="0"/>
      <w:marRight w:val="0"/>
      <w:marTop w:val="0"/>
      <w:marBottom w:val="0"/>
      <w:divBdr>
        <w:top w:val="none" w:sz="0" w:space="0" w:color="auto"/>
        <w:left w:val="none" w:sz="0" w:space="0" w:color="auto"/>
        <w:bottom w:val="none" w:sz="0" w:space="0" w:color="auto"/>
        <w:right w:val="none" w:sz="0" w:space="0" w:color="auto"/>
      </w:divBdr>
    </w:div>
    <w:div w:id="504176225">
      <w:bodyDiv w:val="1"/>
      <w:marLeft w:val="0"/>
      <w:marRight w:val="0"/>
      <w:marTop w:val="0"/>
      <w:marBottom w:val="0"/>
      <w:divBdr>
        <w:top w:val="none" w:sz="0" w:space="0" w:color="auto"/>
        <w:left w:val="none" w:sz="0" w:space="0" w:color="auto"/>
        <w:bottom w:val="none" w:sz="0" w:space="0" w:color="auto"/>
        <w:right w:val="none" w:sz="0" w:space="0" w:color="auto"/>
      </w:divBdr>
    </w:div>
    <w:div w:id="853497282">
      <w:bodyDiv w:val="1"/>
      <w:marLeft w:val="0"/>
      <w:marRight w:val="0"/>
      <w:marTop w:val="0"/>
      <w:marBottom w:val="0"/>
      <w:divBdr>
        <w:top w:val="none" w:sz="0" w:space="0" w:color="auto"/>
        <w:left w:val="none" w:sz="0" w:space="0" w:color="auto"/>
        <w:bottom w:val="none" w:sz="0" w:space="0" w:color="auto"/>
        <w:right w:val="none" w:sz="0" w:space="0" w:color="auto"/>
      </w:divBdr>
    </w:div>
    <w:div w:id="1128358509">
      <w:bodyDiv w:val="1"/>
      <w:marLeft w:val="0"/>
      <w:marRight w:val="0"/>
      <w:marTop w:val="0"/>
      <w:marBottom w:val="0"/>
      <w:divBdr>
        <w:top w:val="none" w:sz="0" w:space="0" w:color="auto"/>
        <w:left w:val="none" w:sz="0" w:space="0" w:color="auto"/>
        <w:bottom w:val="none" w:sz="0" w:space="0" w:color="auto"/>
        <w:right w:val="none" w:sz="0" w:space="0" w:color="auto"/>
      </w:divBdr>
    </w:div>
    <w:div w:id="1202594982">
      <w:bodyDiv w:val="1"/>
      <w:marLeft w:val="0"/>
      <w:marRight w:val="0"/>
      <w:marTop w:val="0"/>
      <w:marBottom w:val="0"/>
      <w:divBdr>
        <w:top w:val="none" w:sz="0" w:space="0" w:color="auto"/>
        <w:left w:val="none" w:sz="0" w:space="0" w:color="auto"/>
        <w:bottom w:val="none" w:sz="0" w:space="0" w:color="auto"/>
        <w:right w:val="none" w:sz="0" w:space="0" w:color="auto"/>
      </w:divBdr>
    </w:div>
    <w:div w:id="1947230986">
      <w:bodyDiv w:val="1"/>
      <w:marLeft w:val="0"/>
      <w:marRight w:val="0"/>
      <w:marTop w:val="0"/>
      <w:marBottom w:val="0"/>
      <w:divBdr>
        <w:top w:val="none" w:sz="0" w:space="0" w:color="auto"/>
        <w:left w:val="none" w:sz="0" w:space="0" w:color="auto"/>
        <w:bottom w:val="none" w:sz="0" w:space="0" w:color="auto"/>
        <w:right w:val="none" w:sz="0" w:space="0" w:color="auto"/>
      </w:divBdr>
    </w:div>
    <w:div w:id="1988509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1646</Words>
  <Characters>9385</Characters>
  <Application>Microsoft Office Word</Application>
  <DocSecurity>0</DocSecurity>
  <Lines>78</Lines>
  <Paragraphs>22</Paragraphs>
  <ScaleCrop>false</ScaleCrop>
  <Company/>
  <LinksUpToDate>false</LinksUpToDate>
  <CharactersWithSpaces>11009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Fenn</dc:creator>
  <cp:keywords/>
  <dc:description/>
  <cp:lastModifiedBy>Julius Fenn</cp:lastModifiedBy>
  <cp:revision>2</cp:revision>
  <dcterms:created xsi:type="dcterms:W3CDTF">2025-12-17T13:26:00Z</dcterms:created>
  <dcterms:modified xsi:type="dcterms:W3CDTF">2025-12-17T13:43:00Z</dcterms:modified>
</cp:coreProperties>
</file>