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E0A9" w14:textId="77777777" w:rsidR="00A95333" w:rsidRDefault="00A95333" w:rsidP="003E2EB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9E51830" w14:textId="7EFAC9E0" w:rsidR="00A95333" w:rsidRDefault="00BC4A32" w:rsidP="003E2EBB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B62E0">
        <w:rPr>
          <w:rFonts w:ascii="Arial" w:hAnsi="Arial" w:cs="Arial"/>
          <w:b/>
          <w:bCs/>
          <w:sz w:val="28"/>
          <w:szCs w:val="28"/>
          <w:lang w:val="en-US"/>
        </w:rPr>
        <w:t xml:space="preserve">Protocol for </w:t>
      </w:r>
      <w:r>
        <w:rPr>
          <w:rFonts w:ascii="Arial" w:hAnsi="Arial" w:cs="Arial"/>
          <w:b/>
          <w:bCs/>
          <w:sz w:val="28"/>
          <w:szCs w:val="28"/>
          <w:lang w:val="en-US"/>
        </w:rPr>
        <w:t>Team</w:t>
      </w:r>
      <w:r w:rsidRPr="00FB62E0">
        <w:rPr>
          <w:rFonts w:ascii="Arial" w:hAnsi="Arial" w:cs="Arial"/>
          <w:b/>
          <w:bCs/>
          <w:sz w:val="28"/>
          <w:szCs w:val="28"/>
          <w:lang w:val="en-US"/>
        </w:rPr>
        <w:t xml:space="preserve"> Discussion: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First </w:t>
      </w:r>
      <w:r w:rsidRPr="00FB62E0">
        <w:rPr>
          <w:rFonts w:ascii="Arial" w:hAnsi="Arial" w:cs="Arial"/>
          <w:b/>
          <w:bCs/>
          <w:sz w:val="28"/>
          <w:szCs w:val="28"/>
          <w:lang w:val="en-US"/>
        </w:rPr>
        <w:t>Coding Round</w:t>
      </w:r>
    </w:p>
    <w:p w14:paraId="3785DEEA" w14:textId="6D9BEFEC" w:rsidR="00A95333" w:rsidRPr="00A95333" w:rsidRDefault="00A95333" w:rsidP="0017688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 xml:space="preserve">The following document contains a protocol of the team discussion regarding the first coding process. For the first coding process </w:t>
      </w:r>
      <w:r w:rsidR="002F2322">
        <w:rPr>
          <w:rFonts w:ascii="Arial" w:hAnsi="Arial" w:cs="Arial"/>
          <w:sz w:val="24"/>
          <w:szCs w:val="24"/>
          <w:lang w:val="en-US"/>
        </w:rPr>
        <w:t>100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text answers have been coded by </w:t>
      </w:r>
      <w:r w:rsidRPr="002F2322">
        <w:rPr>
          <w:rFonts w:ascii="Arial" w:hAnsi="Arial" w:cs="Arial"/>
          <w:b/>
          <w:color w:val="FF0000"/>
          <w:sz w:val="24"/>
          <w:szCs w:val="24"/>
          <w:lang w:val="en-US"/>
        </w:rPr>
        <w:t>6</w:t>
      </w:r>
      <w:r w:rsidR="002F2322" w:rsidRPr="002F2322">
        <w:rPr>
          <w:rFonts w:ascii="Arial" w:hAnsi="Arial" w:cs="Arial"/>
          <w:b/>
          <w:color w:val="FF0000"/>
          <w:sz w:val="24"/>
          <w:szCs w:val="24"/>
          <w:lang w:val="en-US"/>
        </w:rPr>
        <w:t>(??!!)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coders and in a joint session possible ambiguities and difficulties have been discussed.</w:t>
      </w:r>
    </w:p>
    <w:p w14:paraId="5E7B03B3" w14:textId="69D50345" w:rsidR="003E2EBB" w:rsidRPr="00A95333" w:rsidRDefault="003E2EBB" w:rsidP="0017688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The protocol is presented in bullet points, with possible adjustments to the coding guide, based on discussion, highlighted in p</w:t>
      </w:r>
      <w:r w:rsidR="00484D16">
        <w:rPr>
          <w:rFonts w:ascii="Arial" w:hAnsi="Arial" w:cs="Arial"/>
          <w:sz w:val="24"/>
          <w:szCs w:val="24"/>
          <w:lang w:val="en-US"/>
        </w:rPr>
        <w:t>urple</w:t>
      </w:r>
      <w:r w:rsidRPr="00A95333">
        <w:rPr>
          <w:rFonts w:ascii="Arial" w:hAnsi="Arial" w:cs="Arial"/>
          <w:sz w:val="24"/>
          <w:szCs w:val="24"/>
          <w:lang w:val="en-US"/>
        </w:rPr>
        <w:t>.</w:t>
      </w:r>
    </w:p>
    <w:p w14:paraId="3049C106" w14:textId="77777777" w:rsidR="003E2EBB" w:rsidRPr="00A95333" w:rsidRDefault="003E2EBB" w:rsidP="003E2EBB">
      <w:pPr>
        <w:rPr>
          <w:rFonts w:ascii="Arial" w:hAnsi="Arial" w:cs="Arial"/>
          <w:sz w:val="24"/>
          <w:szCs w:val="24"/>
          <w:lang w:val="en-US"/>
        </w:rPr>
      </w:pPr>
    </w:p>
    <w:p w14:paraId="5140508C" w14:textId="3089262B" w:rsidR="003E2EBB" w:rsidRPr="00A95333" w:rsidRDefault="003E2EBB" w:rsidP="003E2EBB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</w:t>
      </w:r>
      <w:r w:rsidR="009309AD" w:rsidRPr="00A95333">
        <w:rPr>
          <w:rFonts w:ascii="Arial" w:hAnsi="Arial" w:cs="Arial"/>
          <w:sz w:val="24"/>
          <w:szCs w:val="24"/>
          <w:lang w:val="en-US"/>
        </w:rPr>
        <w:t>Difficulties of assigned some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words </w:t>
      </w:r>
      <w:r w:rsidR="009309AD" w:rsidRPr="00A95333">
        <w:rPr>
          <w:rFonts w:ascii="Arial" w:hAnsi="Arial" w:cs="Arial"/>
          <w:sz w:val="24"/>
          <w:szCs w:val="24"/>
          <w:lang w:val="en-US"/>
        </w:rPr>
        <w:t>of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the wordlist, such as </w:t>
      </w:r>
      <w:r w:rsidR="00A95333">
        <w:rPr>
          <w:rFonts w:ascii="Arial" w:hAnsi="Arial" w:cs="Arial"/>
          <w:sz w:val="24"/>
          <w:szCs w:val="24"/>
          <w:lang w:val="en-US"/>
        </w:rPr>
        <w:t>‘</w:t>
      </w:r>
      <w:r w:rsidRPr="00A95333">
        <w:rPr>
          <w:rFonts w:ascii="Arial" w:hAnsi="Arial" w:cs="Arial"/>
          <w:sz w:val="24"/>
          <w:szCs w:val="24"/>
          <w:lang w:val="en-US"/>
        </w:rPr>
        <w:t>work</w:t>
      </w:r>
      <w:r w:rsidR="00A95333">
        <w:rPr>
          <w:rFonts w:ascii="Arial" w:hAnsi="Arial" w:cs="Arial"/>
          <w:sz w:val="24"/>
          <w:szCs w:val="24"/>
          <w:lang w:val="en-US"/>
        </w:rPr>
        <w:t>’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, to a category.” </w:t>
      </w:r>
    </w:p>
    <w:p w14:paraId="71D77FF0" w14:textId="790EC759" w:rsidR="003E2EBB" w:rsidRPr="00A95333" w:rsidRDefault="002F2256" w:rsidP="003E2EBB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If someone has gone through all the categories in the coding guidelines and cannot assign a term to a category, the word should be assigned to the 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‘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rest category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’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(positive, negative, or ambivalent).</w:t>
      </w:r>
    </w:p>
    <w:p w14:paraId="6022CF04" w14:textId="77777777" w:rsidR="002F2256" w:rsidRPr="00A95333" w:rsidRDefault="002F2256" w:rsidP="002F2256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5F035CB" w14:textId="11589D36" w:rsidR="002F2256" w:rsidRPr="00A95333" w:rsidRDefault="002F2256" w:rsidP="002F225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““Perceived usefulness” / “perceived uselessness” are too general, as almost any word could be placed in these categories.” In that context, it was suggested to use “perceived usefulness” / “perceived uselessness” as positive and negative rest categories.</w:t>
      </w:r>
    </w:p>
    <w:p w14:paraId="0FA9E099" w14:textId="45ECE029" w:rsidR="002F2256" w:rsidRPr="00A95333" w:rsidRDefault="002F2256" w:rsidP="002F225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 xml:space="preserve"> </w:t>
      </w:r>
      <w:r w:rsidR="00065728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Change the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former categories of “perceived usefulness” / “perceived uselessness” in “rest category, pos.: perceived usefulness” and 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“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rest category, neg.: perceived uselessness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”.</w:t>
      </w:r>
    </w:p>
    <w:p w14:paraId="4A625534" w14:textId="1DFD0701" w:rsidR="002F2256" w:rsidRPr="00A95333" w:rsidRDefault="002F2256" w:rsidP="002F2256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D9656DE" w14:textId="034288B6" w:rsidR="009309AD" w:rsidRPr="00A95333" w:rsidRDefault="009309AD" w:rsidP="009309AD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“Add anchor examples to the coding guidelines?”</w:t>
      </w:r>
    </w:p>
    <w:p w14:paraId="7CFA2926" w14:textId="5475F76F" w:rsidR="009309AD" w:rsidRPr="00A95333" w:rsidRDefault="00A95333" w:rsidP="009309AD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065728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anchor examples to the coding guidelines.</w:t>
      </w:r>
    </w:p>
    <w:p w14:paraId="0DB09963" w14:textId="77777777" w:rsidR="009309AD" w:rsidRPr="00A95333" w:rsidRDefault="009309AD" w:rsidP="009309A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1E96888" w14:textId="6C7B1150" w:rsidR="009309AD" w:rsidRPr="00A95333" w:rsidRDefault="009309AD" w:rsidP="009309A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000000" w:themeColor="text1"/>
          <w:sz w:val="24"/>
          <w:szCs w:val="24"/>
          <w:lang w:val="en-US"/>
        </w:rPr>
        <w:t>“It would be important for all raters to consider the valence of the words during coding.”</w:t>
      </w:r>
    </w:p>
    <w:p w14:paraId="115D4250" w14:textId="7169978A" w:rsidR="009309AD" w:rsidRPr="00A95333" w:rsidRDefault="00065728" w:rsidP="009309AD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Highlight in the coding guidelines that explicit reference must be made to pay attention to the valence of words during rating.</w:t>
      </w:r>
    </w:p>
    <w:p w14:paraId="513795B2" w14:textId="77777777" w:rsidR="009309AD" w:rsidRPr="00A95333" w:rsidRDefault="009309AD" w:rsidP="009309AD">
      <w:pPr>
        <w:rPr>
          <w:rFonts w:ascii="Arial" w:hAnsi="Arial" w:cs="Arial"/>
          <w:sz w:val="24"/>
          <w:szCs w:val="24"/>
          <w:lang w:val="en-US"/>
        </w:rPr>
      </w:pPr>
    </w:p>
    <w:p w14:paraId="5CDC6E4A" w14:textId="079E9B59" w:rsidR="009309AD" w:rsidRPr="00A95333" w:rsidRDefault="00065728" w:rsidP="009309AD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</w:t>
      </w:r>
      <w:r w:rsidR="009309AD" w:rsidRPr="00A95333">
        <w:rPr>
          <w:rFonts w:ascii="Arial" w:hAnsi="Arial" w:cs="Arial"/>
          <w:sz w:val="24"/>
          <w:szCs w:val="24"/>
          <w:lang w:val="en-US"/>
        </w:rPr>
        <w:t>Difficulties to distinguish between “social impact” and “safety”? Societal vs. individual influences?</w:t>
      </w:r>
      <w:r w:rsidRPr="00A95333">
        <w:rPr>
          <w:rFonts w:ascii="Arial" w:hAnsi="Arial" w:cs="Arial"/>
          <w:sz w:val="24"/>
          <w:szCs w:val="24"/>
          <w:lang w:val="en-US"/>
        </w:rPr>
        <w:t>”</w:t>
      </w:r>
    </w:p>
    <w:p w14:paraId="04612EF5" w14:textId="4AD6781F" w:rsidR="009309AD" w:rsidRPr="00A95333" w:rsidRDefault="00065728" w:rsidP="005502A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Difference between these two categories </w:t>
      </w:r>
      <w:r w:rsidR="00A95333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is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explained in the coding guidelines. </w:t>
      </w:r>
    </w:p>
    <w:p w14:paraId="2C5F289A" w14:textId="31FAF3EC" w:rsidR="00394750" w:rsidRPr="00A95333" w:rsidRDefault="00394750" w:rsidP="00394750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lastRenderedPageBreak/>
        <w:t xml:space="preserve">“Add new categories “Technological </w:t>
      </w:r>
      <w:r>
        <w:rPr>
          <w:rFonts w:ascii="Arial" w:hAnsi="Arial" w:cs="Arial"/>
          <w:sz w:val="24"/>
          <w:szCs w:val="24"/>
          <w:lang w:val="en-US"/>
        </w:rPr>
        <w:t>possibilities</w:t>
      </w:r>
      <w:r w:rsidRPr="00A95333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A95333">
        <w:rPr>
          <w:rFonts w:ascii="Arial" w:hAnsi="Arial" w:cs="Arial"/>
          <w:sz w:val="24"/>
          <w:szCs w:val="24"/>
          <w:lang w:val="en-US"/>
        </w:rPr>
        <w:t>“Technological limitation” explicitly intended for technological</w:t>
      </w:r>
      <w:r>
        <w:rPr>
          <w:rFonts w:ascii="Arial" w:hAnsi="Arial" w:cs="Arial"/>
          <w:sz w:val="24"/>
          <w:szCs w:val="24"/>
          <w:lang w:val="en-US"/>
        </w:rPr>
        <w:t xml:space="preserve"> possibilities (positive) and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limitations (negative) in the coding guidelines.”</w:t>
      </w:r>
    </w:p>
    <w:p w14:paraId="59A55FFB" w14:textId="301A4AE6" w:rsidR="00394750" w:rsidRDefault="00394750" w:rsidP="00394750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 new category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“technological 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possibilities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”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and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“technological limitation” to the coding guidelines.</w:t>
      </w:r>
    </w:p>
    <w:p w14:paraId="5418CE49" w14:textId="77777777" w:rsidR="00B139B0" w:rsidRDefault="00B139B0" w:rsidP="0006572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88D2CFC" w14:textId="371FA564" w:rsidR="00065728" w:rsidRPr="00A95333" w:rsidRDefault="00065728" w:rsidP="0006572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000000" w:themeColor="text1"/>
          <w:sz w:val="24"/>
          <w:szCs w:val="24"/>
          <w:lang w:val="en-US"/>
        </w:rPr>
        <w:t>“Could the residual category also be differentiated into “greater good” / “greater negative”?”</w:t>
      </w:r>
    </w:p>
    <w:p w14:paraId="32ED8042" w14:textId="250F7EC9" w:rsidR="00065728" w:rsidRPr="00A95333" w:rsidRDefault="00A95333" w:rsidP="00836116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No, because the rest categories contain concepts whose assignment is not entirely clear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(they could be slightly positive / negative), thus “greater good / “greater negative” would be misleading.</w:t>
      </w:r>
    </w:p>
    <w:p w14:paraId="69FC701D" w14:textId="77777777" w:rsidR="00A95333" w:rsidRPr="00A95333" w:rsidRDefault="00A95333" w:rsidP="00A95333">
      <w:pPr>
        <w:pStyle w:val="Listenabsatz"/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3318A66A" w14:textId="1A92C649" w:rsidR="009309AD" w:rsidRPr="00A95333" w:rsidRDefault="0013697F" w:rsidP="00065728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“Add an ambivalent rest category. Ambivalence particularly arises from valences.”</w:t>
      </w:r>
    </w:p>
    <w:p w14:paraId="00CC0BBE" w14:textId="42593794" w:rsidR="0013697F" w:rsidRPr="00A95333" w:rsidRDefault="00A95333" w:rsidP="001369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13697F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dd an ambivalent rest category to the coding guidelines. </w:t>
      </w:r>
    </w:p>
    <w:p w14:paraId="1260DF57" w14:textId="77777777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</w:p>
    <w:p w14:paraId="4B338184" w14:textId="6EFBA926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“Use abbreviations for the coding process?”</w:t>
      </w:r>
    </w:p>
    <w:p w14:paraId="3BD76DF6" w14:textId="7F135B5C" w:rsidR="0013697F" w:rsidRPr="00A95333" w:rsidRDefault="00A95333" w:rsidP="0013697F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13697F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 abbreviations to the coding guidelines for the second coding process.</w:t>
      </w:r>
    </w:p>
    <w:p w14:paraId="0EBD9FAA" w14:textId="77777777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</w:p>
    <w:p w14:paraId="5C9B92F6" w14:textId="5A6AA722" w:rsidR="003E2EBB" w:rsidRPr="00A95333" w:rsidRDefault="0013697F" w:rsidP="003E2EBB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“Combine “Perceived usefulness” / “Perceived uselessness” into the category “usability””</w:t>
      </w:r>
    </w:p>
    <w:p w14:paraId="6136BF45" w14:textId="568738F2" w:rsidR="0013697F" w:rsidRPr="00A95333" w:rsidRDefault="0013697F" w:rsidP="0013697F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No, we need these two categories as “rest category, pos.” and “rest category, neg.”</w:t>
      </w:r>
    </w:p>
    <w:p w14:paraId="00265FA6" w14:textId="77777777" w:rsidR="0013697F" w:rsidRPr="00A95333" w:rsidRDefault="0013697F" w:rsidP="0013697F">
      <w:pPr>
        <w:pStyle w:val="Listenabsatz"/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71F9EB07" w14:textId="0583E909" w:rsidR="0013697F" w:rsidRPr="00A95333" w:rsidRDefault="0013697F" w:rsidP="0013697F">
      <w:pPr>
        <w:rPr>
          <w:rFonts w:ascii="Arial" w:hAnsi="Arial" w:cs="Arial"/>
          <w:color w:val="0E2841" w:themeColor="text2"/>
          <w:sz w:val="24"/>
          <w:szCs w:val="24"/>
          <w:lang w:val="en-US"/>
        </w:rPr>
      </w:pPr>
      <w:r w:rsidRPr="00A95333">
        <w:rPr>
          <w:rFonts w:ascii="Arial" w:hAnsi="Arial" w:cs="Arial"/>
          <w:color w:val="0E2841" w:themeColor="text2"/>
          <w:sz w:val="24"/>
          <w:szCs w:val="24"/>
          <w:lang w:val="en-US"/>
        </w:rPr>
        <w:t>“Mistrust as useless category?”</w:t>
      </w:r>
    </w:p>
    <w:p w14:paraId="5DE93C43" w14:textId="61C4686F" w:rsidR="00B139B0" w:rsidRDefault="0013697F" w:rsidP="00B139B0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, </w:t>
      </w:r>
      <w:r w:rsidR="00A95333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complementary category to trust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.</w:t>
      </w:r>
    </w:p>
    <w:p w14:paraId="1AEE9874" w14:textId="56AEA202" w:rsidR="00B139B0" w:rsidRDefault="00B139B0">
      <w:pPr>
        <w:rPr>
          <w:rFonts w:ascii="Arial" w:hAnsi="Arial" w:cs="Arial"/>
          <w:sz w:val="24"/>
          <w:szCs w:val="24"/>
          <w:lang w:val="en-US"/>
        </w:rPr>
      </w:pPr>
    </w:p>
    <w:p w14:paraId="0489F841" w14:textId="3C057AB4" w:rsidR="00B139B0" w:rsidRDefault="00B139B0">
      <w:pPr>
        <w:rPr>
          <w:rFonts w:ascii="Arial" w:hAnsi="Arial" w:cs="Arial"/>
          <w:sz w:val="24"/>
          <w:szCs w:val="24"/>
          <w:lang w:val="en-US"/>
        </w:rPr>
      </w:pPr>
    </w:p>
    <w:p w14:paraId="394121DC" w14:textId="77777777" w:rsidR="00B139B0" w:rsidRDefault="00B139B0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6F525C8B" w14:textId="3395F541" w:rsidR="00FA4850" w:rsidRDefault="00FA48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Further adjustments to coding guidelines:</w:t>
      </w:r>
    </w:p>
    <w:p w14:paraId="3637ECB7" w14:textId="0AE699DD" w:rsidR="003E2EBB" w:rsidRDefault="00FA4850" w:rsidP="00FA485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added the column “Code”, which contains </w:t>
      </w:r>
      <w:r w:rsidR="007F358B">
        <w:rPr>
          <w:rFonts w:ascii="Arial" w:hAnsi="Arial" w:cs="Arial"/>
          <w:sz w:val="24"/>
          <w:szCs w:val="24"/>
          <w:lang w:val="en-US"/>
        </w:rPr>
        <w:t>abbreviations</w:t>
      </w:r>
      <w:r>
        <w:rPr>
          <w:rFonts w:ascii="Arial" w:hAnsi="Arial" w:cs="Arial"/>
          <w:sz w:val="24"/>
          <w:szCs w:val="24"/>
          <w:lang w:val="en-US"/>
        </w:rPr>
        <w:t xml:space="preserve"> of the respective categories to avoid spelling errors</w:t>
      </w:r>
    </w:p>
    <w:p w14:paraId="27E6C452" w14:textId="41A20085" w:rsidR="00FA4850" w:rsidRPr="00FA4850" w:rsidRDefault="00FA4850" w:rsidP="00B139B0">
      <w:pPr>
        <w:pStyle w:val="Listenabsatz"/>
        <w:ind w:left="789"/>
        <w:rPr>
          <w:rFonts w:ascii="Arial" w:hAnsi="Arial" w:cs="Arial"/>
          <w:sz w:val="24"/>
          <w:szCs w:val="24"/>
          <w:lang w:val="en-US"/>
        </w:rPr>
      </w:pPr>
    </w:p>
    <w:sectPr w:rsidR="00FA4850" w:rsidRPr="00FA4850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80799" w14:textId="77777777" w:rsidR="002558B6" w:rsidRDefault="002558B6" w:rsidP="00A95333">
      <w:pPr>
        <w:spacing w:after="0" w:line="240" w:lineRule="auto"/>
      </w:pPr>
      <w:r>
        <w:separator/>
      </w:r>
    </w:p>
  </w:endnote>
  <w:endnote w:type="continuationSeparator" w:id="0">
    <w:p w14:paraId="13001489" w14:textId="77777777" w:rsidR="002558B6" w:rsidRDefault="002558B6" w:rsidP="00A9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9948483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83A625B" w14:textId="74C854C9" w:rsidR="00DB313F" w:rsidRDefault="00DB313F" w:rsidP="00672D1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7DE40D3" w14:textId="77777777" w:rsidR="00DB313F" w:rsidRDefault="00DB31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rFonts w:ascii="Arial" w:hAnsi="Arial" w:cs="Arial"/>
      </w:rPr>
      <w:id w:val="198218278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C048441" w14:textId="3AC92215" w:rsidR="00DB313F" w:rsidRPr="00DB313F" w:rsidRDefault="00DB313F" w:rsidP="00672D19">
        <w:pPr>
          <w:pStyle w:val="Fuzeile"/>
          <w:framePr w:wrap="none" w:vAnchor="text" w:hAnchor="margin" w:xAlign="center" w:y="1"/>
          <w:rPr>
            <w:rStyle w:val="Seitenzahl"/>
            <w:rFonts w:ascii="Arial" w:hAnsi="Arial" w:cs="Arial"/>
          </w:rPr>
        </w:pPr>
        <w:r w:rsidRPr="00DB313F">
          <w:rPr>
            <w:rStyle w:val="Seitenzahl"/>
            <w:rFonts w:ascii="Arial" w:hAnsi="Arial" w:cs="Arial"/>
          </w:rPr>
          <w:fldChar w:fldCharType="begin"/>
        </w:r>
        <w:r w:rsidRPr="00DB313F">
          <w:rPr>
            <w:rStyle w:val="Seitenzahl"/>
            <w:rFonts w:ascii="Arial" w:hAnsi="Arial" w:cs="Arial"/>
          </w:rPr>
          <w:instrText xml:space="preserve"> PAGE </w:instrText>
        </w:r>
        <w:r w:rsidRPr="00DB313F">
          <w:rPr>
            <w:rStyle w:val="Seitenzahl"/>
            <w:rFonts w:ascii="Arial" w:hAnsi="Arial" w:cs="Arial"/>
          </w:rPr>
          <w:fldChar w:fldCharType="separate"/>
        </w:r>
        <w:r w:rsidRPr="00DB313F">
          <w:rPr>
            <w:rStyle w:val="Seitenzahl"/>
            <w:rFonts w:ascii="Arial" w:hAnsi="Arial" w:cs="Arial"/>
            <w:noProof/>
          </w:rPr>
          <w:t>2</w:t>
        </w:r>
        <w:r w:rsidRPr="00DB313F">
          <w:rPr>
            <w:rStyle w:val="Seitenzahl"/>
            <w:rFonts w:ascii="Arial" w:hAnsi="Arial" w:cs="Arial"/>
          </w:rPr>
          <w:fldChar w:fldCharType="end"/>
        </w:r>
      </w:p>
    </w:sdtContent>
  </w:sdt>
  <w:p w14:paraId="68449B05" w14:textId="3F3CAA94" w:rsidR="00DB313F" w:rsidRDefault="00DB313F" w:rsidP="00DB313F">
    <w:pPr>
      <w:pStyle w:val="Fuzeile"/>
      <w:tabs>
        <w:tab w:val="clear" w:pos="4536"/>
        <w:tab w:val="clear" w:pos="9072"/>
        <w:tab w:val="left" w:pos="16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5AEA" w14:textId="77777777" w:rsidR="002558B6" w:rsidRDefault="002558B6" w:rsidP="00A95333">
      <w:pPr>
        <w:spacing w:after="0" w:line="240" w:lineRule="auto"/>
      </w:pPr>
      <w:r>
        <w:separator/>
      </w:r>
    </w:p>
  </w:footnote>
  <w:footnote w:type="continuationSeparator" w:id="0">
    <w:p w14:paraId="7494DBFF" w14:textId="77777777" w:rsidR="002558B6" w:rsidRDefault="002558B6" w:rsidP="00A9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48DF" w14:textId="0A3C6907" w:rsidR="00A95333" w:rsidRPr="00A95333" w:rsidRDefault="004A624C">
    <w:pPr>
      <w:pStyle w:val="Kopfzeile"/>
      <w:rPr>
        <w:rFonts w:ascii="Arial" w:hAnsi="Arial" w:cs="Arial"/>
        <w:lang w:val="en-US"/>
      </w:rPr>
    </w:pPr>
    <w:r>
      <w:rPr>
        <w:rFonts w:ascii="Arial" w:hAnsi="Arial" w:cs="Arial"/>
        <w:sz w:val="18"/>
        <w:lang w:val="en-US"/>
      </w:rPr>
      <w:t>Coding</w:t>
    </w:r>
    <w:r w:rsidR="00A95333" w:rsidRPr="00A95333">
      <w:rPr>
        <w:rFonts w:ascii="Arial" w:hAnsi="Arial" w:cs="Arial"/>
        <w:sz w:val="18"/>
        <w:lang w:val="en-US"/>
      </w:rPr>
      <w:t xml:space="preserve"> Discussion</w:t>
    </w:r>
    <w:r w:rsidR="00724B35">
      <w:rPr>
        <w:rFonts w:ascii="Arial" w:hAnsi="Arial" w:cs="Arial"/>
        <w:sz w:val="18"/>
        <w:lang w:val="en-US"/>
      </w:rPr>
      <w:t xml:space="preserve"> 1</w:t>
    </w:r>
    <w:r w:rsidR="00A95333" w:rsidRPr="00A95333">
      <w:rPr>
        <w:rFonts w:ascii="Arial" w:hAnsi="Arial" w:cs="Arial"/>
        <w:sz w:val="18"/>
        <w:lang w:val="en-US"/>
      </w:rPr>
      <w:t xml:space="preserve"> - ONLINE SUPPLEMENTARY OF ARTICLE “Risks and benefits of soft robots”</w:t>
    </w:r>
    <w:r w:rsidR="00484D16">
      <w:rPr>
        <w:rFonts w:ascii="Arial" w:hAnsi="Arial" w:cs="Arial"/>
        <w:sz w:val="18"/>
        <w:lang w:val="en-US"/>
      </w:rPr>
      <w:t>, 27</w:t>
    </w:r>
    <w:r w:rsidR="00484D16" w:rsidRPr="00484D16">
      <w:rPr>
        <w:rFonts w:ascii="Arial" w:hAnsi="Arial" w:cs="Arial"/>
        <w:sz w:val="18"/>
        <w:vertAlign w:val="superscript"/>
        <w:lang w:val="en-US"/>
      </w:rPr>
      <w:t>th</w:t>
    </w:r>
    <w:r w:rsidR="00484D16">
      <w:rPr>
        <w:rFonts w:ascii="Arial" w:hAnsi="Arial" w:cs="Arial"/>
        <w:sz w:val="18"/>
        <w:lang w:val="en-US"/>
      </w:rPr>
      <w:t xml:space="preserve"> of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D7C"/>
    <w:multiLevelType w:val="hybridMultilevel"/>
    <w:tmpl w:val="3F9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C56A2">
      <w:start w:val="3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2D6B"/>
    <w:multiLevelType w:val="hybridMultilevel"/>
    <w:tmpl w:val="FA541754"/>
    <w:lvl w:ilvl="0" w:tplc="54D4E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45312"/>
    <w:multiLevelType w:val="hybridMultilevel"/>
    <w:tmpl w:val="361C555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4D6D1544"/>
    <w:multiLevelType w:val="hybridMultilevel"/>
    <w:tmpl w:val="94B21148"/>
    <w:lvl w:ilvl="0" w:tplc="963C142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B"/>
    <w:rsid w:val="00065728"/>
    <w:rsid w:val="0013697F"/>
    <w:rsid w:val="00176886"/>
    <w:rsid w:val="001F2CF8"/>
    <w:rsid w:val="002558B6"/>
    <w:rsid w:val="002F2256"/>
    <w:rsid w:val="002F2322"/>
    <w:rsid w:val="00394750"/>
    <w:rsid w:val="003A1AB7"/>
    <w:rsid w:val="003E2EBB"/>
    <w:rsid w:val="00415233"/>
    <w:rsid w:val="00484D16"/>
    <w:rsid w:val="004A624C"/>
    <w:rsid w:val="004E208B"/>
    <w:rsid w:val="00633F44"/>
    <w:rsid w:val="00724B35"/>
    <w:rsid w:val="00771CDF"/>
    <w:rsid w:val="007A5EA9"/>
    <w:rsid w:val="007F358B"/>
    <w:rsid w:val="0087406C"/>
    <w:rsid w:val="009309AD"/>
    <w:rsid w:val="00972A3E"/>
    <w:rsid w:val="00A8573E"/>
    <w:rsid w:val="00A95333"/>
    <w:rsid w:val="00AA654A"/>
    <w:rsid w:val="00AC3F58"/>
    <w:rsid w:val="00B139B0"/>
    <w:rsid w:val="00B37B39"/>
    <w:rsid w:val="00BC1631"/>
    <w:rsid w:val="00BC4A32"/>
    <w:rsid w:val="00DB313F"/>
    <w:rsid w:val="00F6449F"/>
    <w:rsid w:val="00FA4850"/>
    <w:rsid w:val="00FE096F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C1AA"/>
  <w15:chartTrackingRefBased/>
  <w15:docId w15:val="{D48A73DA-CDD8-5F4F-AE01-57FC9A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2EBB"/>
    <w:pPr>
      <w:spacing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2E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2E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2E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2E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2E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2E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2E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2E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2E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2E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2EBB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A1A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1AB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1AB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A1A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A1AB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A95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333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A95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5333"/>
    <w:rPr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DB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estadieu</dc:creator>
  <cp:keywords/>
  <dc:description/>
  <cp:lastModifiedBy>Julius Fenn</cp:lastModifiedBy>
  <cp:revision>19</cp:revision>
  <dcterms:created xsi:type="dcterms:W3CDTF">2024-03-06T07:45:00Z</dcterms:created>
  <dcterms:modified xsi:type="dcterms:W3CDTF">2024-07-12T14:31:00Z</dcterms:modified>
</cp:coreProperties>
</file>