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24"/>
          <w:szCs w:val="24"/>
          <w:color w:val="auto"/>
        </w:rPr>
        <w:t>Caijun Qin</w:t>
      </w:r>
    </w:p>
    <w:p>
      <w:pPr>
        <w:spacing w:after="0"/>
        <w:rPr>
          <w:sz w:val="20"/>
          <w:szCs w:val="20"/>
          <w:color w:val="auto"/>
        </w:rPr>
      </w:pPr>
      <w:r>
        <w:rPr>
          <w:rFonts w:ascii="Times New Roman" w:cs="Times New Roman" w:eastAsia="Times New Roman" w:hAnsi="Times New Roman"/>
          <w:sz w:val="24"/>
          <w:szCs w:val="24"/>
          <w:color w:val="auto"/>
        </w:rPr>
        <w:t>12/02/2021</w:t>
      </w:r>
    </w:p>
    <w:p>
      <w:pPr>
        <w:spacing w:after="0" w:line="168"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3.</w:t>
      </w:r>
    </w:p>
    <w:p>
      <w:pPr>
        <w:ind w:right="1820"/>
        <w:spacing w:after="0" w:line="248" w:lineRule="auto"/>
        <w:rPr>
          <w:sz w:val="20"/>
          <w:szCs w:val="20"/>
          <w:color w:val="auto"/>
        </w:rPr>
      </w:pPr>
      <w:r>
        <w:rPr>
          <w:rFonts w:ascii="Times New Roman" w:cs="Times New Roman" w:eastAsia="Times New Roman" w:hAnsi="Times New Roman"/>
          <w:sz w:val="24"/>
          <w:szCs w:val="24"/>
          <w:color w:val="auto"/>
        </w:rPr>
        <w:t>a. For the ith coin, is the number of times heads come up divided by 5 flips. 0.4, 0.8, 0.2, 0.6, 0.6, 1.0, 0.8, 0.4, 0.6, 0.2</w:t>
      </w:r>
    </w:p>
    <w:p>
      <w:pPr>
        <w:spacing w:after="0" w:line="371" w:lineRule="exact"/>
        <w:rPr>
          <w:sz w:val="24"/>
          <w:szCs w:val="24"/>
          <w:color w:val="auto"/>
        </w:rPr>
      </w:pPr>
    </w:p>
    <w:p>
      <w:pPr>
        <w:ind w:right="1940"/>
        <w:spacing w:after="0" w:line="184" w:lineRule="auto"/>
        <w:rPr>
          <w:sz w:val="20"/>
          <w:szCs w:val="20"/>
          <w:color w:val="auto"/>
        </w:rPr>
      </w:pPr>
      <w:r>
        <w:rPr>
          <w:rFonts w:ascii="Times New Roman" w:cs="Times New Roman" w:eastAsia="Times New Roman" w:hAnsi="Times New Roman"/>
          <w:sz w:val="13"/>
          <w:szCs w:val="13"/>
          <w:color w:val="auto"/>
        </w:rPr>
        <w:t>b.</w:t>
      </w:r>
      <w:r>
        <w:rPr>
          <w:rFonts w:ascii="Cambria Math" w:cs="Cambria Math" w:eastAsia="Cambria Math" w:hAnsi="Cambria Math"/>
          <w:sz w:val="13"/>
          <w:szCs w:val="13"/>
          <w:color w:val="auto"/>
        </w:rPr>
        <w:t xml:space="preserve"> = 0.259</w:t>
      </w:r>
      <w:r>
        <w:rPr>
          <w:rFonts w:ascii="Times New Roman" w:cs="Times New Roman" w:eastAsia="Times New Roman" w:hAnsi="Times New Roman"/>
          <w:sz w:val="13"/>
          <w:szCs w:val="13"/>
          <w:color w:val="auto"/>
        </w:rPr>
        <w:t xml:space="preserve"> and</w:t>
      </w:r>
      <w:r>
        <w:rPr>
          <w:rFonts w:ascii="Cambria Math" w:cs="Cambria Math" w:eastAsia="Cambria Math" w:hAnsi="Cambria Math"/>
          <w:sz w:val="13"/>
          <w:szCs w:val="13"/>
          <w:color w:val="auto"/>
        </w:rPr>
        <w:t xml:space="preserve">   ̂ = 0.557</w:t>
      </w:r>
      <w:r>
        <w:rPr>
          <w:rFonts w:ascii="Times New Roman" w:cs="Times New Roman" w:eastAsia="Times New Roman" w:hAnsi="Times New Roman"/>
          <w:sz w:val="13"/>
          <w:szCs w:val="13"/>
          <w:color w:val="auto"/>
        </w:rPr>
        <w:t>. The predicted values are 0.52, 0.63, 0.46, 0.57, 0.57, 0.68, 0.63, 0.52, 0.57, 0.46.</w:t>
      </w:r>
    </w:p>
    <w:p>
      <w:pPr>
        <w:spacing w:after="0" w:line="32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c. The average absolute distances are 0.22 and 0.08 for the two previous parts.</w:t>
      </w:r>
    </w:p>
    <w:p>
      <w:pPr>
        <w:spacing w:after="0" w:line="31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4.</w:t>
      </w:r>
    </w:p>
    <w:p>
      <w:pPr>
        <w:spacing w:after="0" w:line="34" w:lineRule="exact"/>
        <w:rPr>
          <w:sz w:val="24"/>
          <w:szCs w:val="24"/>
          <w:color w:val="auto"/>
        </w:rPr>
      </w:pPr>
    </w:p>
    <w:p>
      <w:pPr>
        <w:jc w:val="both"/>
        <w:spacing w:after="0" w:line="256" w:lineRule="auto"/>
        <w:rPr>
          <w:sz w:val="20"/>
          <w:szCs w:val="20"/>
          <w:color w:val="auto"/>
        </w:rPr>
      </w:pPr>
      <w:r>
        <w:rPr>
          <w:rFonts w:ascii="Times New Roman" w:cs="Times New Roman" w:eastAsia="Times New Roman" w:hAnsi="Times New Roman"/>
          <w:sz w:val="24"/>
          <w:szCs w:val="24"/>
          <w:color w:val="auto"/>
        </w:rPr>
        <w:t>a. The coefficient estimates for the intercept, alcohol indicator, and marijuana indicator are 1.5047, 2.3947, and -2.1693, respectively. Since cigarettes is given as the first factor level, it is the base. The intercept estimate, 1.5047, therefore relays the log odds of using cigarettes over using no substance at all. Analogously, the coefficient estimates 2.3947 and -2.1693 relay the log odds of using alcohol over no substance and using marijuana over no substance, respectively.</w:t>
      </w:r>
    </w:p>
    <w:p>
      <w:pPr>
        <w:spacing w:after="0" w:line="251" w:lineRule="exact"/>
        <w:rPr>
          <w:sz w:val="24"/>
          <w:szCs w:val="24"/>
          <w:color w:val="auto"/>
        </w:rPr>
      </w:pPr>
    </w:p>
    <w:p>
      <w:pPr>
        <w:jc w:val="both"/>
        <w:spacing w:after="0" w:line="184" w:lineRule="auto"/>
        <w:rPr>
          <w:sz w:val="20"/>
          <w:szCs w:val="20"/>
          <w:color w:val="auto"/>
        </w:rPr>
      </w:pPr>
      <w:r>
        <w:rPr>
          <w:rFonts w:ascii="Times New Roman" w:cs="Times New Roman" w:eastAsia="Times New Roman" w:hAnsi="Times New Roman"/>
          <w:sz w:val="16"/>
          <w:szCs w:val="16"/>
          <w:color w:val="auto"/>
        </w:rPr>
        <w:t>Testing marginal homogeneity on</w:t>
      </w:r>
      <w:r>
        <w:rPr>
          <w:rFonts w:ascii="Cambria Math" w:cs="Cambria Math" w:eastAsia="Cambria Math" w:hAnsi="Cambria Math"/>
          <w:sz w:val="22"/>
          <w:szCs w:val="22"/>
          <w:color w:val="auto"/>
        </w:rPr>
        <w:t xml:space="preserve"> </w:t>
      </w:r>
      <w:r>
        <w:rPr>
          <w:rFonts w:ascii="Cambria Math" w:cs="Cambria Math" w:eastAsia="Cambria Math" w:hAnsi="Cambria Math"/>
          <w:sz w:val="22"/>
          <w:szCs w:val="22"/>
          <w:color w:val="auto"/>
          <w:vertAlign w:val="subscript"/>
        </w:rPr>
        <w:t>0</w:t>
      </w:r>
      <w:r>
        <w:rPr>
          <w:rFonts w:ascii="Cambria Math" w:cs="Cambria Math" w:eastAsia="Cambria Math" w:hAnsi="Cambria Math"/>
          <w:sz w:val="16"/>
          <w:szCs w:val="16"/>
          <w:color w:val="auto"/>
        </w:rPr>
        <w:t>:</w:t>
      </w:r>
      <w:r>
        <w:rPr>
          <w:rFonts w:ascii="Cambria Math" w:cs="Cambria Math" w:eastAsia="Cambria Math" w:hAnsi="Cambria Math"/>
          <w:sz w:val="22"/>
          <w:szCs w:val="22"/>
          <w:color w:val="auto"/>
        </w:rPr>
        <w:t xml:space="preserve"> </w:t>
      </w:r>
      <w:r>
        <w:rPr>
          <w:rFonts w:ascii="Cambria Math" w:cs="Cambria Math" w:eastAsia="Cambria Math" w:hAnsi="Cambria Math"/>
          <w:sz w:val="22"/>
          <w:szCs w:val="22"/>
          <w:color w:val="auto"/>
          <w:vertAlign w:val="subscript"/>
        </w:rPr>
        <w:t>0</w:t>
      </w:r>
      <w:r>
        <w:rPr>
          <w:rFonts w:ascii="Cambria Math" w:cs="Cambria Math" w:eastAsia="Cambria Math" w:hAnsi="Cambria Math"/>
          <w:sz w:val="16"/>
          <w:szCs w:val="16"/>
          <w:color w:val="auto"/>
        </w:rPr>
        <w:t xml:space="preserve"> =</w:t>
      </w:r>
      <w:r>
        <w:rPr>
          <w:rFonts w:ascii="Cambria Math" w:cs="Cambria Math" w:eastAsia="Cambria Math" w:hAnsi="Cambria Math"/>
          <w:sz w:val="22"/>
          <w:szCs w:val="22"/>
          <w:color w:val="auto"/>
        </w:rPr>
        <w:t xml:space="preserve"> </w:t>
      </w:r>
      <w:r>
        <w:rPr>
          <w:rFonts w:ascii="Cambria Math" w:cs="Cambria Math" w:eastAsia="Cambria Math" w:hAnsi="Cambria Math"/>
          <w:sz w:val="22"/>
          <w:szCs w:val="22"/>
          <w:color w:val="auto"/>
          <w:vertAlign w:val="subscript"/>
        </w:rPr>
        <w:t>1</w:t>
      </w:r>
      <w:r>
        <w:rPr>
          <w:rFonts w:ascii="Cambria Math" w:cs="Cambria Math" w:eastAsia="Cambria Math" w:hAnsi="Cambria Math"/>
          <w:sz w:val="16"/>
          <w:szCs w:val="16"/>
          <w:color w:val="auto"/>
        </w:rPr>
        <w:t xml:space="preserve"> =</w:t>
      </w:r>
      <w:r>
        <w:rPr>
          <w:rFonts w:ascii="Cambria Math" w:cs="Cambria Math" w:eastAsia="Cambria Math" w:hAnsi="Cambria Math"/>
          <w:sz w:val="22"/>
          <w:szCs w:val="22"/>
          <w:color w:val="auto"/>
        </w:rPr>
        <w:t xml:space="preserve"> </w:t>
      </w:r>
      <w:r>
        <w:rPr>
          <w:rFonts w:ascii="Cambria Math" w:cs="Cambria Math" w:eastAsia="Cambria Math" w:hAnsi="Cambria Math"/>
          <w:sz w:val="22"/>
          <w:szCs w:val="22"/>
          <w:color w:val="auto"/>
          <w:vertAlign w:val="subscript"/>
        </w:rPr>
        <w:t>2</w:t>
      </w:r>
      <w:r>
        <w:rPr>
          <w:rFonts w:ascii="Times New Roman" w:cs="Times New Roman" w:eastAsia="Times New Roman" w:hAnsi="Times New Roman"/>
          <w:sz w:val="16"/>
          <w:szCs w:val="16"/>
          <w:color w:val="auto"/>
        </w:rPr>
        <w:t xml:space="preserve"> rejected the null hypothesis. With an LRT statistic approximately equivalent to 1646.5 as a chi-square estimate and a miniscule p-value of less than 2.2e-16, there exists very strong evidence that at least one of the estimated coefficients is necessary to make the model explanatory.</w:t>
      </w:r>
    </w:p>
    <w:p>
      <w:pPr>
        <w:spacing w:after="0" w:line="323"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R code</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1" o:spid="_x0000_s1026"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fit &lt;- lme4::glmer(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9050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90500"/>
                        </a:xfrm>
                        <a:prstGeom prst="rect">
                          <a:avLst/>
                        </a:prstGeom>
                        <a:solidFill>
                          <a:srgbClr val="E7E6E6"/>
                        </a:solidFill>
                      </wps:spPr>
                      <wps:bodyPr/>
                    </wps:wsp>
                  </a:graphicData>
                </a:graphic>
              </wp:anchor>
            </w:drawing>
          </mc:Choice>
          <mc:Fallback>
            <w:pict>
              <v:rect id="Shape 2" o:spid="_x0000_s1027" style="position:absolute;margin-left:-1.3999pt;margin-top:1.2pt;width:470.9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14" w:lineRule="exact"/>
        <w:rPr>
          <w:sz w:val="24"/>
          <w:szCs w:val="24"/>
          <w:color w:val="auto"/>
        </w:rPr>
      </w:pPr>
    </w:p>
    <w:p>
      <w:pPr>
        <w:ind w:left="120"/>
        <w:spacing w:after="0"/>
        <w:rPr>
          <w:sz w:val="20"/>
          <w:szCs w:val="20"/>
          <w:color w:val="auto"/>
        </w:rPr>
      </w:pPr>
      <w:r>
        <w:rPr>
          <w:rFonts w:ascii="Times New Roman" w:cs="Times New Roman" w:eastAsia="Times New Roman" w:hAnsi="Times New Roman"/>
          <w:sz w:val="23"/>
          <w:szCs w:val="23"/>
          <w:color w:val="auto"/>
        </w:rPr>
        <w:t>formula = ifelse(test = Use == 'yes', yes = 1, no = 0) ~ (1 | Student) + factor(x = Substance, levels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16510</wp:posOffset>
                </wp:positionV>
                <wp:extent cx="5980430" cy="18923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3" o:spid="_x0000_s1028" style="position:absolute;margin-left:-1.3999pt;margin-top:1.3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16" w:lineRule="exact"/>
        <w:rPr>
          <w:sz w:val="24"/>
          <w:szCs w:val="24"/>
          <w:color w:val="auto"/>
        </w:rPr>
      </w:pPr>
    </w:p>
    <w:p>
      <w:pPr>
        <w:ind w:left="120" w:right="5680" w:hanging="120"/>
        <w:spacing w:after="0" w:line="248" w:lineRule="auto"/>
        <w:tabs>
          <w:tab w:leader="none" w:pos="194"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c('cigarettes', 'alcohol', 'marijuana')), data = long.sub,</w:t>
      </w:r>
    </w:p>
    <w:p>
      <w:pPr>
        <w:spacing w:after="0" w:line="12" w:lineRule="exact"/>
        <w:rPr>
          <w:rFonts w:ascii="Times New Roman" w:cs="Times New Roman" w:eastAsia="Times New Roman" w:hAnsi="Times New Roman"/>
          <w:sz w:val="24"/>
          <w:szCs w:val="24"/>
          <w:color w:val="auto"/>
        </w:rPr>
      </w:pPr>
    </w:p>
    <w:p>
      <w:pPr>
        <w:ind w:left="12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family = binomial(link = 'logit')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-361950</wp:posOffset>
                </wp:positionV>
                <wp:extent cx="5980430" cy="18859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4" o:spid="_x0000_s1029" style="position:absolute;margin-left:-1.3999pt;margin-top:-28.49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-173355</wp:posOffset>
                </wp:positionV>
                <wp:extent cx="5980430" cy="188595"/>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5" o:spid="_x0000_s1030" style="position:absolute;margin-left:-1.3999pt;margin-top:-13.64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6" o:spid="_x0000_s1031"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7" o:spid="_x0000_s1032"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summary(fit)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8" o:spid="_x0000_s1033"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204470</wp:posOffset>
                </wp:positionV>
                <wp:extent cx="5980430" cy="188595"/>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9" o:spid="_x0000_s1034" style="position:absolute;margin-left:-1.3999pt;margin-top:16.1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99"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fit.null &lt;- lme4::glmer(</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10" o:spid="_x0000_s1035"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14" w:lineRule="exact"/>
        <w:rPr>
          <w:sz w:val="24"/>
          <w:szCs w:val="24"/>
          <w:color w:val="auto"/>
        </w:rPr>
      </w:pPr>
    </w:p>
    <w:p>
      <w:pPr>
        <w:ind w:left="120" w:right="2740"/>
        <w:spacing w:after="0" w:line="248" w:lineRule="auto"/>
        <w:rPr>
          <w:sz w:val="20"/>
          <w:szCs w:val="20"/>
          <w:color w:val="auto"/>
        </w:rPr>
      </w:pPr>
      <w:r>
        <w:rPr>
          <w:rFonts w:ascii="Times New Roman" w:cs="Times New Roman" w:eastAsia="Times New Roman" w:hAnsi="Times New Roman"/>
          <w:sz w:val="24"/>
          <w:szCs w:val="24"/>
          <w:color w:val="auto"/>
        </w:rPr>
        <w:t>formula = ifelse(test = Use == 'yes', yes = 1, no = 0) ~ (1 | Student), data = long.sub,</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-179070</wp:posOffset>
                </wp:positionV>
                <wp:extent cx="5980430" cy="18859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11" o:spid="_x0000_s1036" style="position:absolute;margin-left:-1.3999pt;margin-top:-14.09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9525</wp:posOffset>
                </wp:positionV>
                <wp:extent cx="5980430" cy="18923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12" o:spid="_x0000_s1037" style="position:absolute;margin-left:-1.3999pt;margin-top:0.75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ind w:left="120"/>
        <w:spacing w:after="0"/>
        <w:rPr>
          <w:sz w:val="20"/>
          <w:szCs w:val="20"/>
          <w:color w:val="auto"/>
        </w:rPr>
      </w:pPr>
      <w:r>
        <w:rPr>
          <w:rFonts w:ascii="Times New Roman" w:cs="Times New Roman" w:eastAsia="Times New Roman" w:hAnsi="Times New Roman"/>
          <w:sz w:val="24"/>
          <w:szCs w:val="24"/>
          <w:color w:val="auto"/>
        </w:rPr>
        <w:t>family = binomial(link = 'logit')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9113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91135"/>
                        </a:xfrm>
                        <a:prstGeom prst="rect">
                          <a:avLst/>
                        </a:prstGeom>
                        <a:solidFill>
                          <a:srgbClr val="E7E6E6"/>
                        </a:solidFill>
                      </wps:spPr>
                      <wps:bodyPr/>
                    </wps:wsp>
                  </a:graphicData>
                </a:graphic>
              </wp:anchor>
            </w:drawing>
          </mc:Choice>
          <mc:Fallback>
            <w:pict>
              <v:rect id="Shape 13" o:spid="_x0000_s1038" style="position:absolute;margin-left:-1.3999pt;margin-top:1.2pt;width:470.9pt;height:15.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16510</wp:posOffset>
                </wp:positionV>
                <wp:extent cx="5980430" cy="18923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14" o:spid="_x0000_s1039" style="position:absolute;margin-left:-1.3999pt;margin-top:1.3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205740</wp:posOffset>
                </wp:positionV>
                <wp:extent cx="5980430" cy="18859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15" o:spid="_x0000_s1040" style="position:absolute;margin-left:-1.3999pt;margin-top:16.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30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anova(fit, fit.null)</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16" o:spid="_x0000_s1041"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lmtest::lrtest(fit, fit.null)</w:t>
      </w:r>
    </w:p>
    <w:p>
      <w:pPr>
        <w:spacing w:after="0" w:line="185" w:lineRule="auto"/>
        <w:rPr>
          <w:sz w:val="20"/>
          <w:szCs w:val="20"/>
          <w:color w:val="auto"/>
        </w:rPr>
      </w:pPr>
      <w:r>
        <w:rPr>
          <w:rFonts w:ascii="Times New Roman" w:cs="Times New Roman" w:eastAsia="Times New Roman" w:hAnsi="Times New Roman"/>
          <w:sz w:val="14"/>
          <w:szCs w:val="14"/>
          <w:color w:val="auto"/>
        </w:rPr>
        <w:t>b. The estimated variance,</w:t>
      </w:r>
      <w:r>
        <w:rPr>
          <w:rFonts w:ascii="Cambria Math" w:cs="Cambria Math" w:eastAsia="Cambria Math" w:hAnsi="Cambria Math"/>
          <w:sz w:val="14"/>
          <w:szCs w:val="14"/>
          <w:color w:val="auto"/>
        </w:rPr>
        <w:t xml:space="preserve">   ̂</w:t>
      </w:r>
      <w:r>
        <w:rPr>
          <w:rFonts w:ascii="Times New Roman" w:cs="Times New Roman" w:eastAsia="Times New Roman" w:hAnsi="Times New Roman"/>
          <w:sz w:val="14"/>
          <w:szCs w:val="14"/>
          <w:color w:val="auto"/>
        </w:rPr>
        <w:t xml:space="preserve">, is 9.141, which is printed out by </w:t>
      </w:r>
      <w:r>
        <w:rPr>
          <w:rFonts w:ascii="Times New Roman" w:cs="Times New Roman" w:eastAsia="Times New Roman" w:hAnsi="Times New Roman"/>
          <w:sz w:val="14"/>
          <w:szCs w:val="14"/>
          <w:color w:val="auto"/>
          <w:shd w:val="clear" w:color="auto" w:fill="E7E6E6"/>
        </w:rPr>
        <w:t>summary(fit)</w:t>
      </w:r>
      <w:r>
        <w:rPr>
          <w:rFonts w:ascii="Times New Roman" w:cs="Times New Roman" w:eastAsia="Times New Roman" w:hAnsi="Times New Roman"/>
          <w:sz w:val="14"/>
          <w:szCs w:val="14"/>
          <w:color w:val="auto"/>
        </w:rPr>
        <w:t xml:space="preserve"> above.</w:t>
      </w:r>
    </w:p>
    <w:p>
      <w:pPr>
        <w:spacing w:after="0" w:line="32" w:lineRule="exact"/>
        <w:rPr>
          <w:sz w:val="24"/>
          <w:szCs w:val="24"/>
          <w:color w:val="auto"/>
        </w:rPr>
      </w:pPr>
    </w:p>
    <w:p>
      <w:pPr>
        <w:spacing w:after="0" w:line="250" w:lineRule="auto"/>
        <w:rPr>
          <w:sz w:val="20"/>
          <w:szCs w:val="20"/>
          <w:color w:val="auto"/>
        </w:rPr>
      </w:pPr>
      <w:r>
        <w:rPr>
          <w:rFonts w:ascii="Times New Roman" w:cs="Times New Roman" w:eastAsia="Times New Roman" w:hAnsi="Times New Roman"/>
          <w:sz w:val="24"/>
          <w:szCs w:val="24"/>
          <w:color w:val="auto"/>
        </w:rPr>
        <w:t>i. Such a large variance implies high variability of subjects (students) amongst clusters and high correlation between subjects within the same cluster (type of substance use).</w:t>
      </w:r>
    </w:p>
    <w:p>
      <w:pPr>
        <w:sectPr>
          <w:pgSz w:w="12240" w:h="15840" w:orient="portrait"/>
          <w:cols w:equalWidth="0" w:num="1">
            <w:col w:w="9360"/>
          </w:cols>
          <w:pgMar w:left="1440" w:top="717" w:right="1440" w:bottom="1440" w:gutter="0" w:footer="0" w:header="0"/>
        </w:sectPr>
      </w:pPr>
    </w:p>
    <w:bookmarkStart w:id="1" w:name="page2"/>
    <w:bookmarkEnd w:id="1"/>
    <w:p>
      <w:pPr>
        <w:spacing w:after="0"/>
        <w:rPr>
          <w:sz w:val="20"/>
          <w:szCs w:val="20"/>
          <w:color w:val="auto"/>
        </w:rPr>
      </w:pPr>
      <w:r>
        <w:rPr>
          <w:rFonts w:ascii="Times New Roman" w:cs="Times New Roman" w:eastAsia="Times New Roman" w:hAnsi="Times New Roman"/>
          <w:sz w:val="24"/>
          <w:szCs w:val="24"/>
          <w:color w:val="auto"/>
        </w:rPr>
        <w:t>Caijun Qin</w:t>
      </w:r>
    </w:p>
    <w:p>
      <w:pPr>
        <w:spacing w:after="0"/>
        <w:rPr>
          <w:sz w:val="20"/>
          <w:szCs w:val="20"/>
          <w:color w:val="auto"/>
        </w:rPr>
      </w:pPr>
      <w:r>
        <w:rPr>
          <w:rFonts w:ascii="Times New Roman" w:cs="Times New Roman" w:eastAsia="Times New Roman" w:hAnsi="Times New Roman"/>
          <w:sz w:val="24"/>
          <w:szCs w:val="24"/>
          <w:color w:val="auto"/>
        </w:rPr>
        <w:t>12/02/2021</w:t>
      </w:r>
    </w:p>
    <w:p>
      <w:pPr>
        <w:spacing w:after="0" w:line="118" w:lineRule="exact"/>
        <w:rPr>
          <w:sz w:val="20"/>
          <w:szCs w:val="20"/>
          <w:color w:val="auto"/>
        </w:rPr>
      </w:pPr>
    </w:p>
    <w:p>
      <w:pPr>
        <w:jc w:val="both"/>
        <w:spacing w:after="0" w:line="253" w:lineRule="auto"/>
        <w:tabs>
          <w:tab w:leader="none" w:pos="245"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A large positive for some student using substance (category) </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xml:space="preserve"> means that there will be a large probability of that student using said substance regardless of how the odds of using substance </w:t>
      </w:r>
      <w:r>
        <w:rPr>
          <w:rFonts w:ascii="Times New Roman" w:cs="Times New Roman" w:eastAsia="Times New Roman" w:hAnsi="Times New Roman"/>
          <w:sz w:val="24"/>
          <w:szCs w:val="24"/>
          <w:i w:val="1"/>
          <w:iCs w:val="1"/>
          <w:color w:val="auto"/>
        </w:rPr>
        <w:t>i</w:t>
      </w:r>
      <w:r>
        <w:rPr>
          <w:rFonts w:ascii="Times New Roman" w:cs="Times New Roman" w:eastAsia="Times New Roman" w:hAnsi="Times New Roman"/>
          <w:sz w:val="24"/>
          <w:szCs w:val="24"/>
          <w:color w:val="auto"/>
        </w:rPr>
        <w:t xml:space="preserve"> compare to other substance use.</w:t>
      </w:r>
    </w:p>
    <w:p>
      <w:pPr>
        <w:spacing w:after="0" w:line="388"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4"/>
          <w:szCs w:val="24"/>
          <w:color w:val="auto"/>
        </w:rPr>
        <w:t>c. The model from 9.1 assumes a population-average model, while this model recognizes a random component that may differ between clusters (types of substances). The coefficients of this model share the correct signs but with greater magnitude than the model from 9.1, and the std errors for this model are also very likely to be smaller. The log odds from this model are computed within the context of a specific cluster rather than the whole population (or sample for the study), inducing the observed differences in coefficients.</w:t>
      </w:r>
    </w:p>
    <w:p>
      <w:pPr>
        <w:spacing w:after="0" w:line="30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e.</w:t>
      </w:r>
    </w:p>
    <w:p>
      <w:pPr>
        <w:spacing w:after="0" w:line="36" w:lineRule="exact"/>
        <w:rPr>
          <w:sz w:val="20"/>
          <w:szCs w:val="20"/>
          <w:color w:val="auto"/>
        </w:rPr>
      </w:pPr>
    </w:p>
    <w:p>
      <w:pPr>
        <w:ind w:right="2160"/>
        <w:spacing w:after="0" w:line="248" w:lineRule="auto"/>
        <w:tabs>
          <w:tab w:leader="none" w:pos="286"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Using GLMM, the following coefficient estimates have been computed. Intercept = 1.60083</w:t>
      </w:r>
    </w:p>
    <w:p>
      <w:pPr>
        <w:spacing w:after="0" w:line="24" w:lineRule="exact"/>
        <w:rPr>
          <w:rFonts w:ascii="Times New Roman" w:cs="Times New Roman" w:eastAsia="Times New Roman" w:hAnsi="Times New Roman"/>
          <w:sz w:val="24"/>
          <w:szCs w:val="24"/>
          <w:color w:val="auto"/>
        </w:rPr>
      </w:pPr>
    </w:p>
    <w:p>
      <w:pPr>
        <w:ind w:right="6500"/>
        <w:spacing w:after="0" w:line="25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Alcohol = 2.55968 Marijuana = -2.45493 Race = -0.92417 Gender = -0.02119 Alcohol:gender = -0.28681 Marijuana:Gender = 0.52475</w:t>
      </w:r>
    </w:p>
    <w:p>
      <w:pPr>
        <w:spacing w:after="0" w:line="200" w:lineRule="exact"/>
        <w:rPr>
          <w:rFonts w:ascii="Times New Roman" w:cs="Times New Roman" w:eastAsia="Times New Roman" w:hAnsi="Times New Roman"/>
          <w:sz w:val="24"/>
          <w:szCs w:val="24"/>
          <w:color w:val="auto"/>
        </w:rPr>
      </w:pPr>
    </w:p>
    <w:p>
      <w:pPr>
        <w:spacing w:after="0" w:line="200" w:lineRule="exact"/>
        <w:rPr>
          <w:rFonts w:ascii="Times New Roman" w:cs="Times New Roman" w:eastAsia="Times New Roman" w:hAnsi="Times New Roman"/>
          <w:sz w:val="24"/>
          <w:szCs w:val="24"/>
          <w:color w:val="auto"/>
        </w:rPr>
      </w:pPr>
    </w:p>
    <w:p>
      <w:pPr>
        <w:spacing w:after="0" w:line="205" w:lineRule="exact"/>
        <w:rPr>
          <w:rFonts w:ascii="Times New Roman" w:cs="Times New Roman" w:eastAsia="Times New Roman" w:hAnsi="Times New Roman"/>
          <w:sz w:val="24"/>
          <w:szCs w:val="24"/>
          <w:color w:val="auto"/>
        </w:rPr>
      </w:pPr>
    </w:p>
    <w:p>
      <w:pPr>
        <w:spacing w:after="0" w:line="271" w:lineRule="auto"/>
        <w:tabs>
          <w:tab w:leader="none" w:pos="346" w:val="left"/>
        </w:tabs>
        <w:numPr>
          <w:ilvl w:val="0"/>
          <w:numId w:val="3"/>
        </w:numPr>
        <w:rPr>
          <w:rFonts w:ascii="Times New Roman" w:cs="Times New Roman" w:eastAsia="Times New Roman" w:hAnsi="Times New Roman"/>
          <w:sz w:val="23"/>
          <w:szCs w:val="23"/>
          <w:color w:val="auto"/>
        </w:rPr>
      </w:pPr>
      <w:r>
        <w:rPr>
          <w:rFonts w:ascii="Times New Roman" w:cs="Times New Roman" w:eastAsia="Times New Roman" w:hAnsi="Times New Roman"/>
          <w:sz w:val="23"/>
          <w:szCs w:val="23"/>
          <w:color w:val="auto"/>
        </w:rPr>
        <w:t xml:space="preserve">Coefficients in this model have larger magnitudes than their counterparts from 9.3. This model also includes a random component for each subject (just call </w:t>
      </w:r>
      <w:r>
        <w:rPr>
          <w:rFonts w:ascii="Times New Roman" w:cs="Times New Roman" w:eastAsia="Times New Roman" w:hAnsi="Times New Roman"/>
          <w:sz w:val="23"/>
          <w:szCs w:val="23"/>
          <w:color w:val="auto"/>
          <w:shd w:val="clear" w:color="auto" w:fill="E7E6E6"/>
        </w:rPr>
        <w:t>fitted</w:t>
      </w:r>
      <w:r>
        <w:rPr>
          <w:rFonts w:ascii="Times New Roman" w:cs="Times New Roman" w:eastAsia="Times New Roman" w:hAnsi="Times New Roman"/>
          <w:sz w:val="23"/>
          <w:szCs w:val="23"/>
          <w:color w:val="auto"/>
        </w:rPr>
        <w:t xml:space="preserve"> function on GLMM model).</w:t>
      </w:r>
    </w:p>
    <w:p>
      <w:pPr>
        <w:spacing w:after="0" w:line="28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R code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17" o:spid="_x0000_s1042"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fit1 &lt;- lme4::glmer(</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18" o:spid="_x0000_s1043"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14" w:lineRule="exact"/>
        <w:rPr>
          <w:sz w:val="20"/>
          <w:szCs w:val="20"/>
          <w:color w:val="auto"/>
        </w:rPr>
      </w:pPr>
    </w:p>
    <w:p>
      <w:pPr>
        <w:jc w:val="both"/>
        <w:ind w:firstLine="120"/>
        <w:spacing w:after="0" w:line="253" w:lineRule="auto"/>
        <w:rPr>
          <w:sz w:val="20"/>
          <w:szCs w:val="20"/>
          <w:color w:val="auto"/>
        </w:rPr>
      </w:pPr>
      <w:r>
        <w:rPr>
          <w:rFonts w:ascii="Times New Roman" w:cs="Times New Roman" w:eastAsia="Times New Roman" w:hAnsi="Times New Roman"/>
          <w:sz w:val="24"/>
          <w:szCs w:val="24"/>
          <w:color w:val="auto"/>
        </w:rPr>
        <w:t>formula = ifelse(test = Use == 'yes', yes = 1, no = 0) ~ (1 | Student) + factor(x = Substance, levels = c('cigarettes', 'alcohol', 'marijuana')) + Race + Gender + Gender:factor(x = Substance, levels = c('cigarettes', 'alcohol', 'marijuana')),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-370840</wp:posOffset>
                </wp:positionV>
                <wp:extent cx="5980430" cy="18859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19" o:spid="_x0000_s1044" style="position:absolute;margin-left:-1.3999pt;margin-top:-29.19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-182245</wp:posOffset>
                </wp:positionV>
                <wp:extent cx="5980430" cy="188595"/>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20" o:spid="_x0000_s1045" style="position:absolute;margin-left:-1.3999pt;margin-top:-14.3499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6350</wp:posOffset>
                </wp:positionV>
                <wp:extent cx="5980430" cy="18923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21" o:spid="_x0000_s1046" style="position:absolute;margin-left:-1.3999pt;margin-top:0.5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ind w:left="120"/>
        <w:spacing w:after="0"/>
        <w:rPr>
          <w:sz w:val="20"/>
          <w:szCs w:val="20"/>
          <w:color w:val="auto"/>
        </w:rPr>
      </w:pPr>
      <w:r>
        <w:rPr>
          <w:rFonts w:ascii="Times New Roman" w:cs="Times New Roman" w:eastAsia="Times New Roman" w:hAnsi="Times New Roman"/>
          <w:sz w:val="24"/>
          <w:szCs w:val="24"/>
          <w:color w:val="auto"/>
        </w:rPr>
        <w:t>data = long.sub1,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923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22" o:spid="_x0000_s1047" style="position:absolute;margin-left:-1.3999pt;margin-top:1.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ind w:left="120"/>
        <w:spacing w:after="0"/>
        <w:rPr>
          <w:sz w:val="20"/>
          <w:szCs w:val="20"/>
          <w:color w:val="auto"/>
        </w:rPr>
      </w:pPr>
      <w:r>
        <w:rPr>
          <w:rFonts w:ascii="Times New Roman" w:cs="Times New Roman" w:eastAsia="Times New Roman" w:hAnsi="Times New Roman"/>
          <w:sz w:val="24"/>
          <w:szCs w:val="24"/>
          <w:color w:val="auto"/>
        </w:rPr>
        <w:t>family = binomial(link = 'logit')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88595"/>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8595"/>
                        </a:xfrm>
                        <a:prstGeom prst="rect">
                          <a:avLst/>
                        </a:prstGeom>
                        <a:solidFill>
                          <a:srgbClr val="E7E6E6"/>
                        </a:solidFill>
                      </wps:spPr>
                      <wps:bodyPr/>
                    </wps:wsp>
                  </a:graphicData>
                </a:graphic>
              </wp:anchor>
            </w:drawing>
          </mc:Choice>
          <mc:Fallback>
            <w:pict>
              <v:rect id="Shape 23" o:spid="_x0000_s1048" style="position:absolute;margin-left:-1.3999pt;margin-top:1.2pt;width:470.9pt;height:14.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-17780</wp:posOffset>
                </wp:positionH>
                <wp:positionV relativeFrom="paragraph">
                  <wp:posOffset>15240</wp:posOffset>
                </wp:positionV>
                <wp:extent cx="5980430" cy="19050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90500"/>
                        </a:xfrm>
                        <a:prstGeom prst="rect">
                          <a:avLst/>
                        </a:prstGeom>
                        <a:solidFill>
                          <a:srgbClr val="E7E6E6"/>
                        </a:solidFill>
                      </wps:spPr>
                      <wps:bodyPr/>
                    </wps:wsp>
                  </a:graphicData>
                </a:graphic>
              </wp:anchor>
            </w:drawing>
          </mc:Choice>
          <mc:Fallback>
            <w:pict>
              <v:rect id="Shape 24" o:spid="_x0000_s1049" style="position:absolute;margin-left:-1.3999pt;margin-top:1.2pt;width:470.9pt;height: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mc:AlternateContent>
          <mc:Choice Requires="wps">
            <w:drawing>
              <wp:anchor simplePos="0" relativeHeight="251657728" behindDoc="1" locked="0" layoutInCell="0" allowOverlap="1">
                <wp:simplePos x="0" y="0"/>
                <wp:positionH relativeFrom="column">
                  <wp:posOffset>-17780</wp:posOffset>
                </wp:positionH>
                <wp:positionV relativeFrom="paragraph">
                  <wp:posOffset>205740</wp:posOffset>
                </wp:positionV>
                <wp:extent cx="5980430" cy="18923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980430" cy="189230"/>
                        </a:xfrm>
                        <a:prstGeom prst="rect">
                          <a:avLst/>
                        </a:prstGeom>
                        <a:solidFill>
                          <a:srgbClr val="E7E6E6"/>
                        </a:solidFill>
                      </wps:spPr>
                      <wps:bodyPr/>
                    </wps:wsp>
                  </a:graphicData>
                </a:graphic>
              </wp:anchor>
            </w:drawing>
          </mc:Choice>
          <mc:Fallback>
            <w:pict>
              <v:rect id="Shape 25" o:spid="_x0000_s1050" style="position:absolute;margin-left:-1.3999pt;margin-top:16.2pt;width:470.9pt;height:14.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7E6E6" stroked="f"/>
            </w:pict>
          </mc:Fallback>
        </mc:AlternateContent>
      </w:r>
    </w:p>
    <w:p>
      <w:pPr>
        <w:spacing w:after="0" w:line="302"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summary(fit1)</w:t>
      </w:r>
    </w:p>
    <w:p>
      <w:pPr>
        <w:spacing w:after="0" w:line="332" w:lineRule="exact"/>
        <w:rPr>
          <w:sz w:val="20"/>
          <w:szCs w:val="20"/>
          <w:color w:val="auto"/>
        </w:rPr>
      </w:pPr>
    </w:p>
    <w:p>
      <w:pPr>
        <w:jc w:val="both"/>
        <w:spacing w:after="0" w:line="256" w:lineRule="auto"/>
        <w:tabs>
          <w:tab w:leader="none" w:pos="2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From the given GEE model, the negative coefficients for severity and drug indicate decrease in log odds while the positive coefficients for time and interaction between drug and time indicate increase in log odds when their respective indicators are on. The difference with the GLMM model is that the intercept for the GLMM can be split into a fixed value and a cluster-specific random component.</w:t>
      </w:r>
    </w:p>
    <w:sectPr>
      <w:pgSz w:w="12240" w:h="15840" w:orient="portrait"/>
      <w:cols w:equalWidth="0" w:num="1">
        <w:col w:w="9360"/>
      </w:cols>
      <w:pgMar w:left="1440" w:top="717"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2000019F" w:csb1="00000000"/>
  </w:font>
</w:fonts>
</file>

<file path=word/numbering.xml><?xml version="1.0" encoding="utf-8"?>
<w:numbering xmlns:w="http://schemas.openxmlformats.org/wordprocessingml/2006/main">
  <w:abstractNum w:abstractNumId="0">
    <w:nsid w:val="74B0DC51"/>
    <w:multiLevelType w:val="hybridMultilevel"/>
    <w:lvl w:ilvl="0">
      <w:lvlJc w:val="left"/>
      <w:lvlText w:val="="/>
      <w:numFmt w:val="bullet"/>
      <w:start w:val="1"/>
    </w:lvl>
  </w:abstractNum>
  <w:abstractNum w:abstractNumId="1">
    <w:nsid w:val="19495CFF"/>
    <w:multiLevelType w:val="hybridMultilevel"/>
    <w:lvl w:ilvl="0">
      <w:lvlJc w:val="left"/>
      <w:lvlText w:val="%1."/>
      <w:numFmt w:val="lowerRoman"/>
      <w:start w:val="2"/>
    </w:lvl>
  </w:abstractNum>
  <w:abstractNum w:abstractNumId="2">
    <w:nsid w:val="2AE8944A"/>
    <w:multiLevelType w:val="hybridMultilevel"/>
    <w:lvl w:ilvl="0">
      <w:lvlJc w:val="left"/>
      <w:lvlText w:val="(%1)"/>
      <w:numFmt w:val="lowerRoman"/>
      <w:start w:val="1"/>
    </w:lvl>
  </w:abstractNum>
  <w:abstractNum w:abstractNumId="3">
    <w:nsid w:val="625558EC"/>
    <w:multiLevelType w:val="hybridMultilevel"/>
    <w:lvl w:ilvl="0">
      <w:lvlJc w:val="left"/>
      <w:lvlText w:val="%1."/>
      <w:numFmt w:val="decimal"/>
      <w:start w:val="6"/>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2023-01-30T02:21:01Z</dcterms:created>
  <dcterms:modified xsi:type="dcterms:W3CDTF">2023-01-30T02:21:01Z</dcterms:modified>
</cp:coreProperties>
</file>