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https://www.who.int/news-room/fact-sheets/detail/health-care-waste?utm_source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https://www.epa.gov/rcra/medical-waste?utm_source=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https://ebookcentral.proquest.com/lib/binghamton/detail.action?docID=667711#goto_toc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0b57d0"/>
            <w:sz w:val="21"/>
            <w:szCs w:val="21"/>
            <w:u w:val="single"/>
            <w:rtl w:val="0"/>
          </w:rPr>
          <w:t xml:space="preserve">https://dergipark.org.tr/en/download/article-file/4318749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rgipark.org.tr/en/download/article-file/431874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ho.int/news-room/fact-sheets/detail/health-care-waste?utm_source" TargetMode="External"/><Relationship Id="rId7" Type="http://schemas.openxmlformats.org/officeDocument/2006/relationships/hyperlink" Target="https://www.epa.gov/rcra/medical-waste?utm_source=" TargetMode="External"/><Relationship Id="rId8" Type="http://schemas.openxmlformats.org/officeDocument/2006/relationships/hyperlink" Target="https://ebookcentral.proquest.com/lib/binghamton/detail.action?docID=667711#goto_t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