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17" w:rsidRDefault="00267217" w:rsidP="007F34A8">
      <w:pPr>
        <w:pStyle w:val="Heading1"/>
      </w:pPr>
      <w:r>
        <w:rPr>
          <w:lang w:val="en-US"/>
        </w:rPr>
        <w:t>12.</w:t>
      </w:r>
      <w:r w:rsidRPr="00267217">
        <w:rPr>
          <w:rFonts w:ascii="Times New Roman" w:eastAsiaTheme="minorEastAsia" w:hAnsi="Times New Roman"/>
          <w:color w:val="000000" w:themeColor="text1"/>
          <w:sz w:val="56"/>
          <w:szCs w:val="56"/>
          <w:lang w:eastAsia="bg-BG"/>
        </w:rPr>
        <w:t xml:space="preserve"> </w:t>
      </w:r>
      <w:r w:rsidRPr="00267217">
        <w:t xml:space="preserve">Автозомно рецесивно унаследяване – генеалогични критерии, </w:t>
      </w:r>
      <w:bookmarkStart w:id="0" w:name="_GoBack"/>
      <w:bookmarkEnd w:id="0"/>
      <w:r w:rsidRPr="00267217">
        <w:t>закономерности, особености</w:t>
      </w:r>
      <w:r>
        <w:rPr>
          <w:lang w:val="en-US"/>
        </w:rPr>
        <w:t>.</w:t>
      </w:r>
      <w:r>
        <w:t xml:space="preserve">Муковиацедоза, Спинална мускулна </w:t>
      </w:r>
      <w:proofErr w:type="gramStart"/>
      <w:r>
        <w:t>атрофия  ,</w:t>
      </w:r>
      <w:proofErr w:type="gramEnd"/>
      <w:r>
        <w:t xml:space="preserve"> Адреногенитален синдром</w:t>
      </w:r>
    </w:p>
    <w:p w:rsidR="00E840B7" w:rsidRPr="00267217" w:rsidRDefault="00991524" w:rsidP="00267217">
      <w:pPr>
        <w:numPr>
          <w:ilvl w:val="0"/>
          <w:numId w:val="1"/>
        </w:numPr>
        <w:rPr>
          <w:b/>
          <w:bCs/>
        </w:rPr>
      </w:pPr>
      <w:r w:rsidRPr="00267217">
        <w:rPr>
          <w:b/>
          <w:bCs/>
        </w:rPr>
        <w:t>Автозомно рецесивно (локусът е върху автозомна хромозома, необходими са два мутантни алела за експресия на фенотипа)</w:t>
      </w:r>
    </w:p>
    <w:p w:rsidR="00267217" w:rsidRDefault="00267217" w:rsidP="00267217">
      <w:pPr>
        <w:rPr>
          <w:b/>
          <w:bCs/>
        </w:rPr>
      </w:pPr>
      <w:r w:rsidRPr="00267217">
        <w:rPr>
          <w:b/>
          <w:bCs/>
        </w:rPr>
        <w:t>Критерии за автозомно рецесивно унаследяване</w:t>
      </w:r>
      <w:r>
        <w:rPr>
          <w:b/>
          <w:bCs/>
        </w:rPr>
        <w:t>: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>Заболяването се проследява в едно поколение (“хоризонтално” унаследяване)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>Белегът може да прескача в поколенията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>Еднакво се засягат и двата пола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>Родителите са хетерозиготи (носители на мутантния алел)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>Рискът в поколението на двама хетерозиготи да се роди болно дете е 25%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 xml:space="preserve">Рискът здравите сибси на засегнат индивид да бъдат носители на патологичния алел е 2/3 </w:t>
      </w:r>
    </w:p>
    <w:p w:rsidR="00E840B7" w:rsidRPr="00267217" w:rsidRDefault="00991524" w:rsidP="00267217">
      <w:pPr>
        <w:numPr>
          <w:ilvl w:val="0"/>
          <w:numId w:val="2"/>
        </w:numPr>
        <w:rPr>
          <w:b/>
          <w:bCs/>
        </w:rPr>
      </w:pPr>
      <w:r w:rsidRPr="00267217">
        <w:rPr>
          <w:b/>
          <w:bCs/>
        </w:rPr>
        <w:t>Потомците на засегнатите индивиди са здрави хетерозиготи</w:t>
      </w:r>
      <w:r w:rsidRPr="00267217">
        <w:rPr>
          <w:b/>
          <w:bCs/>
          <w:lang w:val="en-US"/>
        </w:rPr>
        <w:t>,</w:t>
      </w:r>
      <w:r w:rsidRPr="00267217">
        <w:rPr>
          <w:b/>
          <w:bCs/>
        </w:rPr>
        <w:t xml:space="preserve"> ако другият родител не е носител на мутантния алел</w:t>
      </w:r>
    </w:p>
    <w:p w:rsidR="00267217" w:rsidRDefault="00267217" w:rsidP="00267217">
      <w:pPr>
        <w:rPr>
          <w:b/>
          <w:bCs/>
        </w:rPr>
      </w:pPr>
      <w:r w:rsidRPr="00267217">
        <w:rPr>
          <w:b/>
          <w:bCs/>
        </w:rPr>
        <w:t>Автозомно рецесивно унаследяване – кръвно</w:t>
      </w:r>
      <w:r w:rsidRPr="00267217">
        <w:rPr>
          <w:b/>
          <w:bCs/>
          <w:lang w:val="en-US"/>
        </w:rPr>
        <w:t xml:space="preserve"> </w:t>
      </w:r>
      <w:r w:rsidRPr="00267217">
        <w:rPr>
          <w:b/>
          <w:bCs/>
        </w:rPr>
        <w:t>родство</w:t>
      </w:r>
    </w:p>
    <w:p w:rsidR="00267217" w:rsidRDefault="00267217" w:rsidP="00267217">
      <w:pPr>
        <w:rPr>
          <w:b/>
          <w:bCs/>
        </w:rPr>
      </w:pPr>
      <w:r w:rsidRPr="00267217">
        <w:rPr>
          <w:b/>
          <w:bCs/>
        </w:rPr>
        <w:t xml:space="preserve">Автозомно рецесивно унаследяване </w:t>
      </w:r>
      <w:r>
        <w:rPr>
          <w:b/>
          <w:bCs/>
        </w:rPr>
        <w:t>–</w:t>
      </w:r>
      <w:r w:rsidRPr="00267217">
        <w:rPr>
          <w:b/>
          <w:bCs/>
        </w:rPr>
        <w:t xml:space="preserve"> псевдодоминантност</w:t>
      </w:r>
    </w:p>
    <w:p w:rsidR="00E840B7" w:rsidRPr="00267217" w:rsidRDefault="00267217" w:rsidP="00267217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Л</w:t>
      </w:r>
      <w:r w:rsidR="00991524" w:rsidRPr="00267217">
        <w:rPr>
          <w:b/>
          <w:bCs/>
        </w:rPr>
        <w:t>окусна хетерогенност – мутации в различни гени и локуси водят до появата на едно и също заболяване (АР глухота)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ab/>
      </w:r>
      <w:r w:rsidRPr="00267217">
        <w:rPr>
          <w:b/>
          <w:bCs/>
        </w:rPr>
        <w:tab/>
        <w:t>двоен хетерозигот – индивид, който е хетерозигот по гени в два различни локуса</w:t>
      </w:r>
    </w:p>
    <w:p w:rsidR="00E840B7" w:rsidRPr="00267217" w:rsidRDefault="00991524" w:rsidP="00267217">
      <w:pPr>
        <w:numPr>
          <w:ilvl w:val="0"/>
          <w:numId w:val="5"/>
        </w:numPr>
        <w:rPr>
          <w:b/>
          <w:bCs/>
        </w:rPr>
      </w:pPr>
      <w:r w:rsidRPr="00267217">
        <w:rPr>
          <w:b/>
          <w:bCs/>
        </w:rPr>
        <w:t>Алелна хетерогенност – различни мутации в даден локус са причина за появата на дадено състояние</w:t>
      </w:r>
    </w:p>
    <w:p w:rsidR="00267217" w:rsidRDefault="00267217" w:rsidP="00267217">
      <w:pPr>
        <w:rPr>
          <w:b/>
          <w:bCs/>
        </w:rPr>
      </w:pPr>
      <w:r w:rsidRPr="00267217">
        <w:rPr>
          <w:b/>
          <w:bCs/>
        </w:rPr>
        <w:tab/>
      </w:r>
      <w:r w:rsidRPr="00267217">
        <w:rPr>
          <w:b/>
          <w:bCs/>
        </w:rPr>
        <w:tab/>
      </w:r>
      <w:proofErr w:type="gramStart"/>
      <w:r w:rsidRPr="00267217">
        <w:rPr>
          <w:b/>
          <w:bCs/>
          <w:lang w:val="en-US"/>
        </w:rPr>
        <w:t>compound</w:t>
      </w:r>
      <w:proofErr w:type="gramEnd"/>
      <w:r w:rsidRPr="00267217">
        <w:rPr>
          <w:b/>
          <w:bCs/>
          <w:lang w:val="en-US"/>
        </w:rPr>
        <w:t xml:space="preserve"> </w:t>
      </w:r>
      <w:r w:rsidRPr="00267217">
        <w:rPr>
          <w:b/>
          <w:bCs/>
        </w:rPr>
        <w:t>хетерозигот – индивид, при които са идентифицирани две различни мутации в един и същи локус</w:t>
      </w:r>
    </w:p>
    <w:p w:rsidR="00267217" w:rsidRPr="00267217" w:rsidRDefault="00267217" w:rsidP="00267217">
      <w:pPr>
        <w:rPr>
          <w:b/>
          <w:bCs/>
        </w:rPr>
      </w:pPr>
      <w:r w:rsidRPr="00565E61">
        <w:rPr>
          <w:rStyle w:val="Heading1Char"/>
        </w:rPr>
        <w:t>Муковисцидоза</w:t>
      </w:r>
      <w:r>
        <w:rPr>
          <w:b/>
          <w:bCs/>
        </w:rPr>
        <w:t>-</w:t>
      </w:r>
      <w:r w:rsidRPr="00267217">
        <w:rPr>
          <w:b/>
          <w:bCs/>
          <w:u w:val="single"/>
        </w:rPr>
        <w:t>Честота</w:t>
      </w:r>
    </w:p>
    <w:p w:rsidR="00E840B7" w:rsidRPr="00267217" w:rsidRDefault="00991524" w:rsidP="00267217">
      <w:pPr>
        <w:numPr>
          <w:ilvl w:val="0"/>
          <w:numId w:val="6"/>
        </w:numPr>
        <w:rPr>
          <w:b/>
          <w:bCs/>
        </w:rPr>
      </w:pPr>
      <w:r w:rsidRPr="00267217">
        <w:rPr>
          <w:b/>
          <w:bCs/>
          <w:lang w:val="en-US"/>
        </w:rPr>
        <w:t xml:space="preserve">CF </w:t>
      </w:r>
      <w:r w:rsidRPr="00267217">
        <w:rPr>
          <w:b/>
          <w:bCs/>
        </w:rPr>
        <w:t>е най-често срещаното АР унаследяващо се заболяване сред бялата раса – 1: 2 500 новородени</w:t>
      </w:r>
      <w:r w:rsidRPr="00267217">
        <w:rPr>
          <w:b/>
          <w:bCs/>
          <w:lang w:val="en-US"/>
        </w:rPr>
        <w:t xml:space="preserve">. </w:t>
      </w:r>
    </w:p>
    <w:p w:rsidR="00E840B7" w:rsidRPr="00267217" w:rsidRDefault="00991524" w:rsidP="00267217">
      <w:pPr>
        <w:numPr>
          <w:ilvl w:val="0"/>
          <w:numId w:val="6"/>
        </w:numPr>
        <w:rPr>
          <w:b/>
          <w:bCs/>
        </w:rPr>
      </w:pPr>
      <w:r w:rsidRPr="00267217">
        <w:rPr>
          <w:b/>
          <w:bCs/>
        </w:rPr>
        <w:t xml:space="preserve">Честотата на </w:t>
      </w:r>
      <w:r w:rsidRPr="00267217">
        <w:rPr>
          <w:b/>
          <w:bCs/>
          <w:lang w:val="en-US"/>
        </w:rPr>
        <w:t>CF</w:t>
      </w:r>
      <w:r w:rsidRPr="00267217">
        <w:rPr>
          <w:b/>
          <w:bCs/>
        </w:rPr>
        <w:t xml:space="preserve"> варира от </w:t>
      </w:r>
      <w:r w:rsidRPr="00267217">
        <w:rPr>
          <w:b/>
          <w:bCs/>
          <w:lang w:val="en-US"/>
        </w:rPr>
        <w:t xml:space="preserve">1 </w:t>
      </w:r>
      <w:r w:rsidRPr="00267217">
        <w:rPr>
          <w:b/>
          <w:bCs/>
        </w:rPr>
        <w:t>на</w:t>
      </w:r>
      <w:r w:rsidRPr="00267217">
        <w:rPr>
          <w:b/>
          <w:bCs/>
          <w:lang w:val="en-US"/>
        </w:rPr>
        <w:t xml:space="preserve"> 620 </w:t>
      </w:r>
      <w:r w:rsidRPr="00267217">
        <w:rPr>
          <w:b/>
          <w:bCs/>
        </w:rPr>
        <w:t xml:space="preserve">в Холандия до </w:t>
      </w:r>
      <w:r w:rsidRPr="00267217">
        <w:rPr>
          <w:b/>
          <w:bCs/>
          <w:lang w:val="en-US"/>
        </w:rPr>
        <w:t xml:space="preserve">1 </w:t>
      </w:r>
      <w:r w:rsidRPr="00267217">
        <w:rPr>
          <w:b/>
          <w:bCs/>
        </w:rPr>
        <w:t>на</w:t>
      </w:r>
      <w:r w:rsidRPr="00267217">
        <w:rPr>
          <w:b/>
          <w:bCs/>
          <w:lang w:val="en-US"/>
        </w:rPr>
        <w:t xml:space="preserve"> 90</w:t>
      </w:r>
      <w:r w:rsidRPr="00267217">
        <w:rPr>
          <w:b/>
          <w:bCs/>
        </w:rPr>
        <w:t xml:space="preserve"> </w:t>
      </w:r>
      <w:r w:rsidRPr="00267217">
        <w:rPr>
          <w:b/>
          <w:bCs/>
          <w:lang w:val="en-US"/>
        </w:rPr>
        <w:t xml:space="preserve">000 </w:t>
      </w:r>
      <w:r w:rsidRPr="00267217">
        <w:rPr>
          <w:b/>
          <w:bCs/>
        </w:rPr>
        <w:t>В Азия</w:t>
      </w:r>
      <w:r w:rsidRPr="00267217">
        <w:rPr>
          <w:b/>
          <w:bCs/>
          <w:lang w:val="en-US"/>
        </w:rPr>
        <w:t xml:space="preserve">. </w:t>
      </w:r>
    </w:p>
    <w:p w:rsidR="00E840B7" w:rsidRPr="00267217" w:rsidRDefault="00991524" w:rsidP="00267217">
      <w:pPr>
        <w:numPr>
          <w:ilvl w:val="0"/>
          <w:numId w:val="6"/>
        </w:numPr>
        <w:rPr>
          <w:b/>
          <w:bCs/>
        </w:rPr>
      </w:pPr>
      <w:r w:rsidRPr="00267217">
        <w:rPr>
          <w:b/>
          <w:bCs/>
        </w:rPr>
        <w:t>В България: 1: 3 600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lastRenderedPageBreak/>
        <w:tab/>
      </w:r>
      <w:r w:rsidRPr="00267217">
        <w:rPr>
          <w:b/>
          <w:bCs/>
        </w:rPr>
        <w:tab/>
      </w:r>
      <w:r w:rsidRPr="00267217">
        <w:rPr>
          <w:b/>
          <w:bCs/>
          <w:lang w:val="en-US"/>
        </w:rPr>
        <w:t>*</w:t>
      </w:r>
      <w:r w:rsidRPr="00267217">
        <w:rPr>
          <w:b/>
          <w:bCs/>
        </w:rPr>
        <w:t>Хетерозиготи 1: 33 в Б-я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>Смъртност/Морбидност</w:t>
      </w:r>
      <w:r w:rsidRPr="00267217">
        <w:rPr>
          <w:b/>
          <w:bCs/>
          <w:lang w:val="en-US"/>
        </w:rPr>
        <w:t xml:space="preserve"> </w:t>
      </w:r>
    </w:p>
    <w:p w:rsidR="00E840B7" w:rsidRPr="00267217" w:rsidRDefault="00991524" w:rsidP="00267217">
      <w:pPr>
        <w:numPr>
          <w:ilvl w:val="0"/>
          <w:numId w:val="7"/>
        </w:numPr>
        <w:rPr>
          <w:b/>
          <w:bCs/>
        </w:rPr>
      </w:pPr>
      <w:r w:rsidRPr="00267217">
        <w:rPr>
          <w:b/>
          <w:bCs/>
        </w:rPr>
        <w:t>Понастоящем средната преживяемост е 30  години, като тя е сигнификантно по-висока при мъжете</w:t>
      </w:r>
      <w:r w:rsidRPr="00267217">
        <w:rPr>
          <w:b/>
          <w:bCs/>
          <w:lang w:val="en-US"/>
        </w:rPr>
        <w:t xml:space="preserve">. </w:t>
      </w:r>
    </w:p>
    <w:p w:rsidR="00E840B7" w:rsidRDefault="00991524" w:rsidP="00267217">
      <w:pPr>
        <w:numPr>
          <w:ilvl w:val="0"/>
          <w:numId w:val="7"/>
        </w:numPr>
        <w:rPr>
          <w:b/>
          <w:bCs/>
        </w:rPr>
      </w:pPr>
      <w:r w:rsidRPr="00267217">
        <w:rPr>
          <w:b/>
          <w:bCs/>
        </w:rPr>
        <w:t>Клиничното протичане, възрастта, на която се диагностицира заболяването, тежестта на клиничните симптоми и прогресията на органните увреди варират значително</w:t>
      </w:r>
      <w:r w:rsidRPr="00267217">
        <w:rPr>
          <w:b/>
          <w:bCs/>
          <w:lang w:val="en-US"/>
        </w:rPr>
        <w:t xml:space="preserve">. 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  <w:lang w:val="en-US"/>
        </w:rPr>
        <w:t xml:space="preserve">CF </w:t>
      </w:r>
      <w:r w:rsidRPr="00267217">
        <w:rPr>
          <w:b/>
          <w:bCs/>
        </w:rPr>
        <w:t xml:space="preserve">е заболяване на жлезите с външна секреция, засягащо множество органи: </w:t>
      </w:r>
    </w:p>
    <w:p w:rsidR="00E840B7" w:rsidRPr="00267217" w:rsidRDefault="00991524" w:rsidP="00267217">
      <w:pPr>
        <w:numPr>
          <w:ilvl w:val="0"/>
          <w:numId w:val="8"/>
        </w:numPr>
        <w:rPr>
          <w:b/>
          <w:bCs/>
        </w:rPr>
      </w:pPr>
      <w:r w:rsidRPr="00267217">
        <w:rPr>
          <w:b/>
          <w:bCs/>
        </w:rPr>
        <w:t xml:space="preserve">бял дроб - хронични инфекции; </w:t>
      </w:r>
    </w:p>
    <w:p w:rsidR="00E840B7" w:rsidRPr="00267217" w:rsidRDefault="00991524" w:rsidP="00267217">
      <w:pPr>
        <w:numPr>
          <w:ilvl w:val="0"/>
          <w:numId w:val="8"/>
        </w:numPr>
        <w:rPr>
          <w:b/>
          <w:bCs/>
        </w:rPr>
      </w:pPr>
      <w:r w:rsidRPr="00267217">
        <w:rPr>
          <w:b/>
          <w:bCs/>
        </w:rPr>
        <w:t>панкреасна ензимна недостатъчност;</w:t>
      </w:r>
    </w:p>
    <w:p w:rsidR="00E840B7" w:rsidRPr="00267217" w:rsidRDefault="00991524" w:rsidP="00267217">
      <w:pPr>
        <w:numPr>
          <w:ilvl w:val="0"/>
          <w:numId w:val="8"/>
        </w:numPr>
        <w:rPr>
          <w:b/>
          <w:bCs/>
        </w:rPr>
      </w:pPr>
      <w:r w:rsidRPr="00267217">
        <w:rPr>
          <w:b/>
          <w:bCs/>
        </w:rPr>
        <w:t>гастроинтестинален тракт;</w:t>
      </w:r>
    </w:p>
    <w:p w:rsidR="00E840B7" w:rsidRPr="00267217" w:rsidRDefault="00991524" w:rsidP="00267217">
      <w:pPr>
        <w:numPr>
          <w:ilvl w:val="0"/>
          <w:numId w:val="8"/>
        </w:numPr>
        <w:rPr>
          <w:b/>
          <w:bCs/>
        </w:rPr>
      </w:pPr>
      <w:r w:rsidRPr="00267217">
        <w:rPr>
          <w:b/>
          <w:bCs/>
        </w:rPr>
        <w:t xml:space="preserve">потни жлези; </w:t>
      </w:r>
    </w:p>
    <w:p w:rsidR="00E840B7" w:rsidRPr="00267217" w:rsidRDefault="00991524" w:rsidP="00267217">
      <w:pPr>
        <w:numPr>
          <w:ilvl w:val="0"/>
          <w:numId w:val="8"/>
        </w:numPr>
        <w:rPr>
          <w:b/>
          <w:bCs/>
        </w:rPr>
      </w:pPr>
      <w:r w:rsidRPr="00267217">
        <w:rPr>
          <w:b/>
          <w:bCs/>
        </w:rPr>
        <w:t xml:space="preserve">черен дроб. 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ab/>
        <w:t>Засягане на белия дроб се среща при 90% от пациентите, преживели неонаталния период. Главната причина за летален изход е белодробната болест.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ab/>
        <w:t xml:space="preserve">Други усложнения са забавяне на пубертета и проблеми с фертилитета; повечето мъже са с азооспермия поради агенеза на </w:t>
      </w:r>
      <w:r w:rsidRPr="00267217">
        <w:rPr>
          <w:b/>
          <w:bCs/>
          <w:lang w:val="en-US"/>
        </w:rPr>
        <w:t xml:space="preserve">vas deferens. </w:t>
      </w:r>
    </w:p>
    <w:p w:rsidR="00E840B7" w:rsidRPr="00267217" w:rsidRDefault="00267217" w:rsidP="00267217">
      <w:pPr>
        <w:numPr>
          <w:ilvl w:val="0"/>
          <w:numId w:val="9"/>
        </w:numPr>
        <w:rPr>
          <w:b/>
          <w:bCs/>
        </w:rPr>
      </w:pPr>
      <w:r w:rsidRPr="00267217">
        <w:rPr>
          <w:b/>
          <w:bCs/>
        </w:rPr>
        <w:t>ПАНКРЕАС</w:t>
      </w:r>
      <w:r>
        <w:rPr>
          <w:b/>
          <w:bCs/>
        </w:rPr>
        <w:t>-</w:t>
      </w:r>
      <w:r w:rsidR="00991524" w:rsidRPr="00267217">
        <w:rPr>
          <w:b/>
          <w:bCs/>
          <w:lang w:val="en-US"/>
        </w:rPr>
        <w:t xml:space="preserve">90-95% </w:t>
      </w:r>
      <w:r w:rsidR="00991524" w:rsidRPr="00267217">
        <w:rPr>
          <w:b/>
          <w:bCs/>
        </w:rPr>
        <w:t>панкреасна ензимна недостатъчност</w:t>
      </w:r>
      <w:r w:rsidR="00991524" w:rsidRPr="00267217">
        <w:rPr>
          <w:b/>
          <w:bCs/>
          <w:lang w:val="en-US"/>
        </w:rPr>
        <w:t xml:space="preserve"> </w:t>
      </w:r>
      <w:r w:rsidR="00991524" w:rsidRPr="00267217">
        <w:rPr>
          <w:b/>
          <w:bCs/>
        </w:rPr>
        <w:t>с храносмилателни проблеми и хипотрофия в ранна детска възраст;</w:t>
      </w:r>
    </w:p>
    <w:p w:rsidR="00E840B7" w:rsidRPr="00267217" w:rsidRDefault="00991524" w:rsidP="00267217">
      <w:pPr>
        <w:numPr>
          <w:ilvl w:val="0"/>
          <w:numId w:val="9"/>
        </w:numPr>
        <w:rPr>
          <w:b/>
          <w:bCs/>
        </w:rPr>
      </w:pPr>
      <w:r w:rsidRPr="00267217">
        <w:rPr>
          <w:b/>
          <w:bCs/>
        </w:rPr>
        <w:t xml:space="preserve">Чести изхождания – лошо миришещи, с мастни капки; флатуленция и колики след хранене </w:t>
      </w:r>
    </w:p>
    <w:p w:rsidR="00E840B7" w:rsidRPr="00267217" w:rsidRDefault="00991524" w:rsidP="00267217">
      <w:pPr>
        <w:numPr>
          <w:ilvl w:val="0"/>
          <w:numId w:val="9"/>
        </w:numPr>
        <w:rPr>
          <w:b/>
          <w:bCs/>
        </w:rPr>
      </w:pPr>
      <w:r w:rsidRPr="00267217">
        <w:rPr>
          <w:b/>
          <w:bCs/>
        </w:rPr>
        <w:t>Лоша абсорбция на мастно-разтворими вит.</w:t>
      </w:r>
      <w:r w:rsidRPr="00267217">
        <w:rPr>
          <w:b/>
          <w:bCs/>
          <w:lang w:val="en-US"/>
        </w:rPr>
        <w:t xml:space="preserve"> A, D, E, K</w:t>
      </w:r>
      <w:r w:rsidRPr="00267217">
        <w:rPr>
          <w:b/>
          <w:bCs/>
        </w:rPr>
        <w:t xml:space="preserve"> </w:t>
      </w:r>
    </w:p>
    <w:p w:rsidR="00E840B7" w:rsidRPr="00267217" w:rsidRDefault="00991524" w:rsidP="00267217">
      <w:pPr>
        <w:numPr>
          <w:ilvl w:val="0"/>
          <w:numId w:val="9"/>
        </w:numPr>
        <w:rPr>
          <w:b/>
          <w:bCs/>
        </w:rPr>
      </w:pPr>
      <w:r w:rsidRPr="00267217">
        <w:rPr>
          <w:b/>
          <w:bCs/>
        </w:rPr>
        <w:t xml:space="preserve">Панкреатит </w:t>
      </w:r>
    </w:p>
    <w:p w:rsidR="00267217" w:rsidRPr="00267217" w:rsidRDefault="00267217" w:rsidP="00267217">
      <w:pPr>
        <w:numPr>
          <w:ilvl w:val="0"/>
          <w:numId w:val="9"/>
        </w:numPr>
        <w:rPr>
          <w:b/>
          <w:bCs/>
        </w:rPr>
      </w:pPr>
      <w:r w:rsidRPr="00267217">
        <w:rPr>
          <w:b/>
          <w:bCs/>
        </w:rPr>
        <w:t xml:space="preserve">Pancreas, cystic fibrosis </w:t>
      </w:r>
      <w:r w:rsidRPr="00267217">
        <w:rPr>
          <w:b/>
          <w:bCs/>
          <w:lang w:val="en-US"/>
        </w:rPr>
        <w:t xml:space="preserve">: </w:t>
      </w:r>
      <w:r w:rsidRPr="00267217">
        <w:rPr>
          <w:b/>
          <w:bCs/>
        </w:rPr>
        <w:t>натрупването на мукус в епителните клетки</w:t>
      </w:r>
      <w:r w:rsidRPr="00267217">
        <w:rPr>
          <w:b/>
          <w:bCs/>
          <w:lang w:val="en-US"/>
        </w:rPr>
        <w:t xml:space="preserve"> </w:t>
      </w:r>
      <w:r w:rsidRPr="00267217">
        <w:rPr>
          <w:b/>
          <w:bCs/>
        </w:rPr>
        <w:t>води до формиран</w:t>
      </w:r>
      <w:r w:rsidRPr="00267217">
        <w:rPr>
          <w:b/>
          <w:bCs/>
          <w:lang w:val="en-US"/>
        </w:rPr>
        <w:t>e</w:t>
      </w:r>
      <w:r w:rsidRPr="00267217">
        <w:rPr>
          <w:b/>
          <w:bCs/>
        </w:rPr>
        <w:t xml:space="preserve"> на раздути крипти</w:t>
      </w:r>
      <w:r w:rsidRPr="00267217">
        <w:rPr>
          <w:b/>
          <w:bCs/>
          <w:lang w:val="en-US"/>
        </w:rPr>
        <w:t xml:space="preserve"> </w:t>
      </w:r>
    </w:p>
    <w:p w:rsidR="00267217" w:rsidRDefault="00267217" w:rsidP="00267217">
      <w:pPr>
        <w:rPr>
          <w:b/>
          <w:bCs/>
        </w:rPr>
      </w:pPr>
      <w:r w:rsidRPr="00267217">
        <w:rPr>
          <w:b/>
          <w:bCs/>
        </w:rPr>
        <w:t xml:space="preserve">Интестинален тракт </w:t>
      </w:r>
      <w:r w:rsidRPr="00267217">
        <w:rPr>
          <w:b/>
          <w:bCs/>
        </w:rPr>
        <w:br/>
        <w:t xml:space="preserve">                                         Черен дроб</w:t>
      </w:r>
    </w:p>
    <w:p w:rsidR="00E840B7" w:rsidRPr="00267217" w:rsidRDefault="00991524" w:rsidP="00267217">
      <w:pPr>
        <w:numPr>
          <w:ilvl w:val="0"/>
          <w:numId w:val="10"/>
        </w:numPr>
        <w:rPr>
          <w:b/>
          <w:bCs/>
        </w:rPr>
      </w:pPr>
      <w:r w:rsidRPr="00267217">
        <w:rPr>
          <w:b/>
          <w:bCs/>
          <w:lang w:val="en-US"/>
        </w:rPr>
        <w:t xml:space="preserve">meconium ileus </w:t>
      </w:r>
      <w:r w:rsidRPr="00267217">
        <w:rPr>
          <w:b/>
          <w:bCs/>
        </w:rPr>
        <w:t>при новородени;</w:t>
      </w:r>
    </w:p>
    <w:p w:rsidR="00E840B7" w:rsidRPr="00267217" w:rsidRDefault="00991524" w:rsidP="00267217">
      <w:pPr>
        <w:numPr>
          <w:ilvl w:val="0"/>
          <w:numId w:val="10"/>
        </w:numPr>
        <w:rPr>
          <w:b/>
          <w:bCs/>
        </w:rPr>
      </w:pPr>
      <w:r w:rsidRPr="00267217">
        <w:rPr>
          <w:b/>
          <w:bCs/>
        </w:rPr>
        <w:t>Синдром на интестинална обструкция в дисталните отдели в по-късна възраст.</w:t>
      </w:r>
    </w:p>
    <w:p w:rsidR="00E840B7" w:rsidRPr="00267217" w:rsidRDefault="00991524" w:rsidP="00267217">
      <w:pPr>
        <w:numPr>
          <w:ilvl w:val="0"/>
          <w:numId w:val="10"/>
        </w:numPr>
        <w:rPr>
          <w:b/>
          <w:bCs/>
        </w:rPr>
      </w:pPr>
      <w:r w:rsidRPr="00267217">
        <w:rPr>
          <w:b/>
          <w:bCs/>
        </w:rPr>
        <w:t>Обструкция на билиарните пътища; цироза; варици на хранопровода; спленомегалия; хиперспленизъм;</w:t>
      </w:r>
    </w:p>
    <w:p w:rsidR="00E840B7" w:rsidRPr="00267217" w:rsidRDefault="00991524" w:rsidP="00267217">
      <w:pPr>
        <w:numPr>
          <w:ilvl w:val="0"/>
          <w:numId w:val="10"/>
        </w:numPr>
        <w:rPr>
          <w:b/>
          <w:bCs/>
        </w:rPr>
      </w:pPr>
      <w:r w:rsidRPr="00267217">
        <w:rPr>
          <w:b/>
          <w:bCs/>
        </w:rPr>
        <w:t xml:space="preserve">Чернодробна стеатоза; </w:t>
      </w:r>
    </w:p>
    <w:p w:rsidR="00E840B7" w:rsidRPr="00267217" w:rsidRDefault="00991524" w:rsidP="00267217">
      <w:pPr>
        <w:numPr>
          <w:ilvl w:val="0"/>
          <w:numId w:val="10"/>
        </w:numPr>
        <w:rPr>
          <w:b/>
          <w:bCs/>
        </w:rPr>
      </w:pPr>
      <w:r w:rsidRPr="00267217">
        <w:rPr>
          <w:b/>
          <w:bCs/>
        </w:rPr>
        <w:lastRenderedPageBreak/>
        <w:t>Жлъчно-каменна болест - при</w:t>
      </w:r>
      <w:r w:rsidRPr="00267217">
        <w:rPr>
          <w:b/>
          <w:bCs/>
          <w:lang w:val="en-US"/>
        </w:rPr>
        <w:t xml:space="preserve"> 15% of CF </w:t>
      </w:r>
      <w:r w:rsidRPr="00267217">
        <w:rPr>
          <w:b/>
          <w:bCs/>
        </w:rPr>
        <w:t>пациентите.</w:t>
      </w:r>
    </w:p>
    <w:p w:rsidR="00267217" w:rsidRPr="00267217" w:rsidRDefault="00267217" w:rsidP="00267217">
      <w:pPr>
        <w:numPr>
          <w:ilvl w:val="0"/>
          <w:numId w:val="10"/>
        </w:numPr>
        <w:rPr>
          <w:b/>
          <w:bCs/>
        </w:rPr>
      </w:pPr>
      <w:r w:rsidRPr="00267217">
        <w:rPr>
          <w:b/>
          <w:bCs/>
          <w:lang w:val="en-US"/>
        </w:rPr>
        <w:t xml:space="preserve">CF </w:t>
      </w:r>
      <w:r w:rsidRPr="00267217">
        <w:rPr>
          <w:b/>
          <w:bCs/>
        </w:rPr>
        <w:t>е резултат от дефект в ген регулатор на трансмембранната проводимост (</w:t>
      </w:r>
      <w:r w:rsidRPr="00267217">
        <w:rPr>
          <w:b/>
          <w:bCs/>
          <w:lang w:val="en-US"/>
        </w:rPr>
        <w:t xml:space="preserve">cystic fibrosis </w:t>
      </w:r>
      <w:proofErr w:type="spellStart"/>
      <w:r w:rsidRPr="00267217">
        <w:rPr>
          <w:b/>
          <w:bCs/>
          <w:lang w:val="en-US"/>
        </w:rPr>
        <w:t>transmembrane</w:t>
      </w:r>
      <w:proofErr w:type="spellEnd"/>
      <w:r w:rsidRPr="00267217">
        <w:rPr>
          <w:b/>
          <w:bCs/>
          <w:lang w:val="en-US"/>
        </w:rPr>
        <w:t xml:space="preserve"> conductance regulator CFTR), </w:t>
      </w:r>
      <w:r w:rsidRPr="00267217">
        <w:rPr>
          <w:b/>
          <w:bCs/>
        </w:rPr>
        <w:t xml:space="preserve">който кодира протеин, функциониращ като канал на хлорните </w:t>
      </w:r>
      <w:proofErr w:type="gramStart"/>
      <w:r w:rsidRPr="00267217">
        <w:rPr>
          <w:b/>
          <w:bCs/>
        </w:rPr>
        <w:t>йони  и</w:t>
      </w:r>
      <w:proofErr w:type="gramEnd"/>
      <w:r w:rsidRPr="00267217">
        <w:rPr>
          <w:b/>
          <w:bCs/>
        </w:rPr>
        <w:t xml:space="preserve"> се регулира от цАМФ. Мутациите в </w:t>
      </w:r>
      <w:r w:rsidRPr="00267217">
        <w:rPr>
          <w:b/>
          <w:bCs/>
          <w:lang w:val="en-US"/>
        </w:rPr>
        <w:t>CFTR</w:t>
      </w:r>
      <w:r w:rsidRPr="00267217">
        <w:rPr>
          <w:b/>
          <w:bCs/>
        </w:rPr>
        <w:t xml:space="preserve"> гена водят до нарушения в транспорта на хлорните йони през мембраната на епителните клетки и като следствие нарушение в транспорта на водата. Това от своя страна води до формиране на гъст, жилав секрет в бронхиалното дърво, панкреаса, гастроинтестиналния тракт, потните жлези и други тъкани с екзокринна функция.</w:t>
      </w:r>
    </w:p>
    <w:p w:rsidR="00E840B7" w:rsidRPr="00267217" w:rsidRDefault="00267217" w:rsidP="00267217">
      <w:pPr>
        <w:numPr>
          <w:ilvl w:val="0"/>
          <w:numId w:val="11"/>
        </w:numPr>
        <w:rPr>
          <w:b/>
          <w:bCs/>
        </w:rPr>
      </w:pPr>
      <w:r w:rsidRPr="00267217">
        <w:rPr>
          <w:b/>
          <w:bCs/>
        </w:rPr>
        <w:t>Потен тест</w:t>
      </w:r>
      <w:r>
        <w:rPr>
          <w:b/>
          <w:bCs/>
        </w:rPr>
        <w:t>-</w:t>
      </w:r>
      <w:r w:rsidR="00991524" w:rsidRPr="00267217">
        <w:rPr>
          <w:b/>
          <w:bCs/>
        </w:rPr>
        <w:t xml:space="preserve">Стойности на хлоридите под 40 mmoles/l пот се отчитат като нормални. </w:t>
      </w:r>
    </w:p>
    <w:p w:rsidR="00E840B7" w:rsidRPr="00267217" w:rsidRDefault="00991524" w:rsidP="00267217">
      <w:pPr>
        <w:numPr>
          <w:ilvl w:val="0"/>
          <w:numId w:val="11"/>
        </w:numPr>
        <w:rPr>
          <w:b/>
          <w:bCs/>
        </w:rPr>
      </w:pPr>
      <w:r w:rsidRPr="00267217">
        <w:rPr>
          <w:b/>
          <w:bCs/>
        </w:rPr>
        <w:t xml:space="preserve">Стойности на хлоридите над 60 mmoles/l пот при проведени поне 2 потни теста извеждат клинична диагноза </w:t>
      </w:r>
      <w:r w:rsidRPr="00267217">
        <w:rPr>
          <w:b/>
          <w:bCs/>
          <w:lang w:val="en-US"/>
        </w:rPr>
        <w:t>CF</w:t>
      </w:r>
      <w:r w:rsidRPr="00267217">
        <w:rPr>
          <w:b/>
          <w:bCs/>
        </w:rPr>
        <w:t xml:space="preserve"> </w:t>
      </w:r>
    </w:p>
    <w:p w:rsidR="00267217" w:rsidRDefault="00267217" w:rsidP="00267217">
      <w:pPr>
        <w:rPr>
          <w:b/>
          <w:bCs/>
        </w:rPr>
      </w:pPr>
      <w:r w:rsidRPr="00267217">
        <w:rPr>
          <w:b/>
          <w:bCs/>
        </w:rPr>
        <w:t>Стойности на хлоридите между 40 и 60 mmoles/l пот са неинформативни и тестът трябва да се повтори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>Генетика</w:t>
      </w:r>
      <w:r>
        <w:rPr>
          <w:b/>
          <w:bCs/>
          <w:lang w:val="en-US"/>
        </w:rPr>
        <w:t>-</w:t>
      </w:r>
      <w:r w:rsidRPr="00267217">
        <w:rPr>
          <w:b/>
          <w:bCs/>
        </w:rPr>
        <w:t>CFTR генътсе състои от</w:t>
      </w:r>
      <w:r w:rsidRPr="00267217">
        <w:rPr>
          <w:b/>
          <w:bCs/>
          <w:lang w:val="en-US"/>
        </w:rPr>
        <w:t xml:space="preserve"> 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 xml:space="preserve">27 екзона на хромозома 7 </w:t>
      </w:r>
    </w:p>
    <w:p w:rsidR="00267217" w:rsidRPr="00267217" w:rsidRDefault="00267217" w:rsidP="00267217">
      <w:pPr>
        <w:rPr>
          <w:b/>
          <w:bCs/>
        </w:rPr>
      </w:pPr>
      <w:r w:rsidRPr="00267217">
        <w:rPr>
          <w:b/>
          <w:bCs/>
        </w:rPr>
        <w:t xml:space="preserve">(7q31) </w:t>
      </w:r>
    </w:p>
    <w:p w:rsidR="00267217" w:rsidRDefault="00267217" w:rsidP="00267217">
      <w:pPr>
        <w:pStyle w:val="Heading1"/>
        <w:rPr>
          <w:lang w:val="en-US"/>
        </w:rPr>
      </w:pPr>
      <w:r w:rsidRPr="00267217">
        <w:t>Спинална мускулна атрофия</w:t>
      </w:r>
    </w:p>
    <w:p w:rsidR="00E840B7" w:rsidRPr="00267217" w:rsidRDefault="00991524" w:rsidP="00267217">
      <w:pPr>
        <w:numPr>
          <w:ilvl w:val="0"/>
          <w:numId w:val="12"/>
        </w:numPr>
      </w:pPr>
      <w:r w:rsidRPr="00267217">
        <w:t>Невромускулно заболяване, което се характеризира</w:t>
      </w:r>
      <w:r w:rsidRPr="00267217">
        <w:rPr>
          <w:lang w:val="en-US"/>
        </w:rPr>
        <w:t xml:space="preserve"> </w:t>
      </w:r>
      <w:r w:rsidRPr="00267217">
        <w:t>с прогресивна мускулна слабост, резултат от дегенерацията и загубата на клетки в предните рога на гръбначния мозък и ядрата на мозъчния ствол</w:t>
      </w:r>
    </w:p>
    <w:p w:rsidR="00E840B7" w:rsidRPr="00267217" w:rsidRDefault="00991524" w:rsidP="00267217">
      <w:pPr>
        <w:numPr>
          <w:ilvl w:val="0"/>
          <w:numId w:val="12"/>
        </w:numPr>
      </w:pPr>
      <w:r w:rsidRPr="00267217">
        <w:t>Унаследяване - АР</w:t>
      </w:r>
    </w:p>
    <w:p w:rsidR="00E840B7" w:rsidRPr="00267217" w:rsidRDefault="00991524" w:rsidP="00267217">
      <w:pPr>
        <w:numPr>
          <w:ilvl w:val="0"/>
          <w:numId w:val="12"/>
        </w:numPr>
      </w:pPr>
      <w:r w:rsidRPr="00267217">
        <w:t>Честота – около 1/10 000</w:t>
      </w:r>
    </w:p>
    <w:p w:rsidR="00E840B7" w:rsidRPr="00267217" w:rsidRDefault="00991524" w:rsidP="00267217">
      <w:pPr>
        <w:numPr>
          <w:ilvl w:val="0"/>
          <w:numId w:val="12"/>
        </w:numPr>
      </w:pPr>
      <w:r w:rsidRPr="00267217">
        <w:rPr>
          <w:lang w:val="en-US"/>
        </w:rPr>
        <w:t>SMN1</w:t>
      </w:r>
      <w:r w:rsidRPr="00267217">
        <w:t xml:space="preserve">и </w:t>
      </w:r>
      <w:r w:rsidRPr="00267217">
        <w:rPr>
          <w:lang w:val="en-US"/>
        </w:rPr>
        <w:t xml:space="preserve">SMN2 </w:t>
      </w:r>
      <w:r w:rsidRPr="00267217">
        <w:t xml:space="preserve">гени </w:t>
      </w:r>
      <w:r w:rsidRPr="00267217">
        <w:rPr>
          <w:lang w:val="en-US"/>
        </w:rPr>
        <w:t>– 5q12</w:t>
      </w:r>
    </w:p>
    <w:p w:rsidR="00E840B7" w:rsidRPr="00267217" w:rsidRDefault="00991524" w:rsidP="00267217">
      <w:pPr>
        <w:numPr>
          <w:ilvl w:val="0"/>
          <w:numId w:val="12"/>
        </w:numPr>
      </w:pPr>
      <w:r w:rsidRPr="00267217">
        <w:t>Класификация – базира се на началото на клиничната картина и степента на засягане</w:t>
      </w:r>
    </w:p>
    <w:p w:rsidR="00E840B7" w:rsidRPr="00267217" w:rsidRDefault="00991524" w:rsidP="00267217">
      <w:pPr>
        <w:numPr>
          <w:ilvl w:val="2"/>
          <w:numId w:val="12"/>
        </w:numPr>
      </w:pPr>
      <w:r w:rsidRPr="00267217">
        <w:rPr>
          <w:b/>
          <w:bCs/>
        </w:rPr>
        <w:t>Пренатална форма</w:t>
      </w:r>
    </w:p>
    <w:p w:rsidR="00E840B7" w:rsidRPr="00267217" w:rsidRDefault="00991524" w:rsidP="00267217">
      <w:pPr>
        <w:numPr>
          <w:ilvl w:val="2"/>
          <w:numId w:val="12"/>
        </w:numPr>
      </w:pPr>
      <w:r w:rsidRPr="00267217">
        <w:rPr>
          <w:b/>
          <w:bCs/>
          <w:lang w:val="en-US"/>
        </w:rPr>
        <w:t>SMA type I (</w:t>
      </w:r>
      <w:proofErr w:type="spellStart"/>
      <w:r w:rsidRPr="00267217">
        <w:rPr>
          <w:b/>
          <w:bCs/>
          <w:lang w:val="en-US"/>
        </w:rPr>
        <w:t>Werdnig</w:t>
      </w:r>
      <w:proofErr w:type="spellEnd"/>
      <w:r w:rsidRPr="00267217">
        <w:rPr>
          <w:b/>
          <w:bCs/>
          <w:lang w:val="en-US"/>
        </w:rPr>
        <w:t xml:space="preserve"> – Hoffman)</w:t>
      </w:r>
    </w:p>
    <w:p w:rsidR="00E840B7" w:rsidRPr="00267217" w:rsidRDefault="00991524" w:rsidP="00267217">
      <w:pPr>
        <w:numPr>
          <w:ilvl w:val="2"/>
          <w:numId w:val="12"/>
        </w:numPr>
      </w:pPr>
      <w:r w:rsidRPr="00267217">
        <w:rPr>
          <w:b/>
          <w:bCs/>
          <w:lang w:val="en-US"/>
        </w:rPr>
        <w:t>SMA type II</w:t>
      </w:r>
    </w:p>
    <w:p w:rsidR="00E840B7" w:rsidRPr="00267217" w:rsidRDefault="00991524" w:rsidP="00267217">
      <w:pPr>
        <w:numPr>
          <w:ilvl w:val="2"/>
          <w:numId w:val="12"/>
        </w:numPr>
      </w:pPr>
      <w:r w:rsidRPr="00267217">
        <w:rPr>
          <w:b/>
          <w:bCs/>
          <w:lang w:val="en-US"/>
        </w:rPr>
        <w:t>SMA type III (</w:t>
      </w:r>
      <w:proofErr w:type="spellStart"/>
      <w:r w:rsidRPr="00267217">
        <w:rPr>
          <w:b/>
          <w:bCs/>
          <w:lang w:val="en-US"/>
        </w:rPr>
        <w:t>Kugelberg</w:t>
      </w:r>
      <w:proofErr w:type="spellEnd"/>
      <w:r w:rsidRPr="00267217">
        <w:rPr>
          <w:b/>
          <w:bCs/>
          <w:lang w:val="en-US"/>
        </w:rPr>
        <w:t xml:space="preserve"> – </w:t>
      </w:r>
      <w:proofErr w:type="spellStart"/>
      <w:r w:rsidRPr="00267217">
        <w:rPr>
          <w:b/>
          <w:bCs/>
          <w:lang w:val="en-US"/>
        </w:rPr>
        <w:t>Welander</w:t>
      </w:r>
      <w:proofErr w:type="spellEnd"/>
      <w:r w:rsidRPr="00267217">
        <w:rPr>
          <w:b/>
          <w:bCs/>
          <w:lang w:val="en-US"/>
        </w:rPr>
        <w:t>)</w:t>
      </w:r>
    </w:p>
    <w:p w:rsidR="00E840B7" w:rsidRPr="00267217" w:rsidRDefault="00991524" w:rsidP="00267217">
      <w:pPr>
        <w:numPr>
          <w:ilvl w:val="2"/>
          <w:numId w:val="12"/>
        </w:numPr>
      </w:pPr>
      <w:r w:rsidRPr="00267217">
        <w:rPr>
          <w:b/>
          <w:bCs/>
          <w:lang w:val="en-US"/>
        </w:rPr>
        <w:t>SMA IV (adult type)</w:t>
      </w:r>
    </w:p>
    <w:p w:rsidR="00E840B7" w:rsidRPr="00267217" w:rsidRDefault="00267217" w:rsidP="00267217">
      <w:pPr>
        <w:numPr>
          <w:ilvl w:val="0"/>
          <w:numId w:val="13"/>
        </w:numPr>
      </w:pPr>
      <w:r w:rsidRPr="00267217">
        <w:t>Пренатална форма</w:t>
      </w:r>
      <w:r>
        <w:t>-</w:t>
      </w:r>
      <w:r w:rsidR="00991524" w:rsidRPr="00267217">
        <w:t>Намалена вътреутробна</w:t>
      </w:r>
      <w:r w:rsidR="00991524" w:rsidRPr="00267217">
        <w:rPr>
          <w:b/>
          <w:bCs/>
          <w:lang w:val="en-US"/>
        </w:rPr>
        <w:t xml:space="preserve"> </w:t>
      </w:r>
      <w:r w:rsidR="00991524" w:rsidRPr="00267217">
        <w:t>активност</w:t>
      </w:r>
    </w:p>
    <w:p w:rsidR="00E840B7" w:rsidRPr="00267217" w:rsidRDefault="00991524" w:rsidP="00267217">
      <w:pPr>
        <w:numPr>
          <w:ilvl w:val="0"/>
          <w:numId w:val="13"/>
        </w:numPr>
      </w:pPr>
      <w:r w:rsidRPr="00267217">
        <w:t>Полихидрамнион</w:t>
      </w:r>
    </w:p>
    <w:p w:rsidR="00E840B7" w:rsidRPr="00267217" w:rsidRDefault="00991524" w:rsidP="00267217">
      <w:pPr>
        <w:numPr>
          <w:ilvl w:val="0"/>
          <w:numId w:val="13"/>
        </w:numPr>
      </w:pPr>
      <w:r w:rsidRPr="00267217">
        <w:lastRenderedPageBreak/>
        <w:t>Летален изход в рамките на месец след раждането в резултат на дихателна недостатъчност</w:t>
      </w:r>
    </w:p>
    <w:p w:rsidR="00267217" w:rsidRPr="00267217" w:rsidRDefault="00267217" w:rsidP="00267217">
      <w:r w:rsidRPr="00267217">
        <w:rPr>
          <w:lang w:val="en-US"/>
        </w:rPr>
        <w:t>SMA I</w:t>
      </w:r>
    </w:p>
    <w:p w:rsidR="00E840B7" w:rsidRPr="00267217" w:rsidRDefault="00991524" w:rsidP="00267217">
      <w:pPr>
        <w:numPr>
          <w:ilvl w:val="0"/>
          <w:numId w:val="14"/>
        </w:numPr>
      </w:pPr>
      <w:r w:rsidRPr="00267217">
        <w:t>Начало на клиничната картина – до 6 месеца след раждането</w:t>
      </w:r>
    </w:p>
    <w:p w:rsidR="00E840B7" w:rsidRPr="00267217" w:rsidRDefault="00991524" w:rsidP="00267217">
      <w:pPr>
        <w:numPr>
          <w:ilvl w:val="0"/>
          <w:numId w:val="14"/>
        </w:numPr>
      </w:pPr>
      <w:r w:rsidRPr="00267217">
        <w:t>Тежка мускулна слабост (проксимално и симетрично засягане)</w:t>
      </w:r>
    </w:p>
    <w:p w:rsidR="00E840B7" w:rsidRPr="00267217" w:rsidRDefault="00991524" w:rsidP="00267217">
      <w:pPr>
        <w:numPr>
          <w:ilvl w:val="0"/>
          <w:numId w:val="14"/>
        </w:numPr>
      </w:pPr>
      <w:r w:rsidRPr="00267217">
        <w:t>Липса на моторно развитие (невъзможност за поддържане на седнала позиция, затруднения при храненето)</w:t>
      </w:r>
    </w:p>
    <w:p w:rsidR="00E840B7" w:rsidRPr="00267217" w:rsidRDefault="00991524" w:rsidP="00267217">
      <w:pPr>
        <w:numPr>
          <w:ilvl w:val="0"/>
          <w:numId w:val="14"/>
        </w:numPr>
      </w:pPr>
      <w:r w:rsidRPr="00267217">
        <w:t>Летален изход в рамките на първите две години от живота</w:t>
      </w:r>
    </w:p>
    <w:p w:rsidR="00267217" w:rsidRPr="00267217" w:rsidRDefault="00267217" w:rsidP="00267217">
      <w:r w:rsidRPr="00267217">
        <w:rPr>
          <w:lang w:val="en-US"/>
        </w:rPr>
        <w:t>SMA II</w:t>
      </w:r>
    </w:p>
    <w:p w:rsidR="00E840B7" w:rsidRPr="00267217" w:rsidRDefault="00991524" w:rsidP="00267217">
      <w:pPr>
        <w:numPr>
          <w:ilvl w:val="0"/>
          <w:numId w:val="15"/>
        </w:numPr>
      </w:pPr>
      <w:r w:rsidRPr="00267217">
        <w:t>Начало на клин. симптоми – 6мес. до 1 год.</w:t>
      </w:r>
    </w:p>
    <w:p w:rsidR="00267217" w:rsidRPr="00267217" w:rsidRDefault="00267217" w:rsidP="00267217">
      <w:r w:rsidRPr="00267217">
        <w:t xml:space="preserve"> </w:t>
      </w:r>
    </w:p>
    <w:p w:rsidR="00267217" w:rsidRPr="00267217" w:rsidRDefault="00267217" w:rsidP="00267217">
      <w:r w:rsidRPr="00267217">
        <w:rPr>
          <w:lang w:val="en-US"/>
        </w:rPr>
        <w:t>SMA III</w:t>
      </w:r>
      <w:r w:rsidRPr="00267217">
        <w:t xml:space="preserve"> </w:t>
      </w:r>
      <w:r w:rsidRPr="00267217">
        <w:rPr>
          <w:lang w:val="en-US"/>
        </w:rPr>
        <w:t xml:space="preserve">(juvenile spinal muscular atrophy; </w:t>
      </w:r>
      <w:proofErr w:type="spellStart"/>
      <w:r w:rsidRPr="00267217">
        <w:rPr>
          <w:lang w:val="en-US"/>
        </w:rPr>
        <w:t>Kugelberg-Welander</w:t>
      </w:r>
      <w:proofErr w:type="spellEnd"/>
      <w:r w:rsidRPr="00267217">
        <w:rPr>
          <w:lang w:val="en-US"/>
        </w:rPr>
        <w:t>)</w:t>
      </w:r>
    </w:p>
    <w:p w:rsidR="00E840B7" w:rsidRPr="00267217" w:rsidRDefault="00991524" w:rsidP="00267217">
      <w:pPr>
        <w:numPr>
          <w:ilvl w:val="0"/>
          <w:numId w:val="16"/>
        </w:numPr>
      </w:pPr>
      <w:r w:rsidRPr="00267217">
        <w:t>Начало на клиничната картина – след едногодишна възраст</w:t>
      </w:r>
    </w:p>
    <w:p w:rsidR="00E840B7" w:rsidRPr="00267217" w:rsidRDefault="00991524" w:rsidP="00267217">
      <w:pPr>
        <w:numPr>
          <w:ilvl w:val="0"/>
          <w:numId w:val="16"/>
        </w:numPr>
      </w:pPr>
      <w:r w:rsidRPr="00267217">
        <w:t>Долните крайници са по-тежко засегнати от горните</w:t>
      </w:r>
    </w:p>
    <w:p w:rsidR="00E840B7" w:rsidRPr="00267217" w:rsidRDefault="00991524" w:rsidP="00267217">
      <w:pPr>
        <w:numPr>
          <w:ilvl w:val="0"/>
          <w:numId w:val="16"/>
        </w:numPr>
      </w:pPr>
      <w:r w:rsidRPr="00267217">
        <w:t>Прогнозата корелира с достигнатите нива на моторно развитие като някои индивиди могат да запазят способността си да ходят до 30-40 годишна възраст</w:t>
      </w:r>
    </w:p>
    <w:p w:rsidR="00267217" w:rsidRPr="00267217" w:rsidRDefault="00267217" w:rsidP="00267217">
      <w:r w:rsidRPr="00267217">
        <w:rPr>
          <w:lang w:val="en-US"/>
        </w:rPr>
        <w:t>SMA IV</w:t>
      </w:r>
    </w:p>
    <w:p w:rsidR="00E840B7" w:rsidRPr="00267217" w:rsidRDefault="00991524" w:rsidP="00267217">
      <w:pPr>
        <w:numPr>
          <w:ilvl w:val="0"/>
          <w:numId w:val="17"/>
        </w:numPr>
      </w:pPr>
      <w:r w:rsidRPr="00267217">
        <w:t>Началото на клиничната картина – 20-30 годишна възраст</w:t>
      </w:r>
    </w:p>
    <w:p w:rsidR="00267217" w:rsidRPr="00267217" w:rsidRDefault="00267217" w:rsidP="00267217">
      <w:r w:rsidRPr="00267217">
        <w:t>Усложнения в протичането на заболяването:</w:t>
      </w:r>
    </w:p>
    <w:p w:rsidR="00E840B7" w:rsidRPr="00267217" w:rsidRDefault="00991524" w:rsidP="00267217">
      <w:pPr>
        <w:numPr>
          <w:ilvl w:val="2"/>
          <w:numId w:val="18"/>
        </w:numPr>
      </w:pPr>
      <w:r w:rsidRPr="00267217">
        <w:t>Затруднено наддаване на тегло</w:t>
      </w:r>
    </w:p>
    <w:p w:rsidR="00E840B7" w:rsidRPr="00267217" w:rsidRDefault="00991524" w:rsidP="00267217">
      <w:pPr>
        <w:numPr>
          <w:ilvl w:val="2"/>
          <w:numId w:val="18"/>
        </w:numPr>
      </w:pPr>
      <w:r w:rsidRPr="00267217">
        <w:t>Нарушения на съня</w:t>
      </w:r>
    </w:p>
    <w:p w:rsidR="00E840B7" w:rsidRPr="00267217" w:rsidRDefault="00991524" w:rsidP="00267217">
      <w:pPr>
        <w:numPr>
          <w:ilvl w:val="2"/>
          <w:numId w:val="18"/>
        </w:numPr>
      </w:pPr>
      <w:r w:rsidRPr="00267217">
        <w:t>Чести инфекции на дихателните пътища</w:t>
      </w:r>
    </w:p>
    <w:p w:rsidR="00E840B7" w:rsidRPr="00267217" w:rsidRDefault="00991524" w:rsidP="00267217">
      <w:pPr>
        <w:numPr>
          <w:ilvl w:val="2"/>
          <w:numId w:val="18"/>
        </w:numPr>
      </w:pPr>
      <w:r w:rsidRPr="00267217">
        <w:t>Сколиоза</w:t>
      </w:r>
    </w:p>
    <w:p w:rsidR="00E840B7" w:rsidRPr="00267217" w:rsidRDefault="00991524" w:rsidP="00267217">
      <w:pPr>
        <w:numPr>
          <w:ilvl w:val="2"/>
          <w:numId w:val="18"/>
        </w:numPr>
      </w:pPr>
      <w:r w:rsidRPr="00267217">
        <w:t xml:space="preserve">Ставни контрактури </w:t>
      </w:r>
    </w:p>
    <w:p w:rsidR="00267217" w:rsidRPr="00267217" w:rsidRDefault="00267217" w:rsidP="00267217">
      <w:r w:rsidRPr="00267217">
        <w:t>Генетика</w:t>
      </w:r>
      <w:r>
        <w:t>-</w:t>
      </w:r>
      <w:r w:rsidRPr="00267217">
        <w:t xml:space="preserve">Със спиналната мускулна атрофия се асоциирани два гена: </w:t>
      </w:r>
      <w:r w:rsidRPr="00267217">
        <w:rPr>
          <w:lang w:val="en-US"/>
        </w:rPr>
        <w:t xml:space="preserve">SMN1 </w:t>
      </w:r>
      <w:r w:rsidRPr="00267217">
        <w:t xml:space="preserve">и </w:t>
      </w:r>
      <w:r w:rsidRPr="00267217">
        <w:rPr>
          <w:lang w:val="en-US"/>
        </w:rPr>
        <w:t>SMN2</w:t>
      </w:r>
      <w:r w:rsidRPr="00267217">
        <w:t xml:space="preserve">, които са съседни. Броят копия, с които е представен </w:t>
      </w:r>
      <w:r w:rsidRPr="00267217">
        <w:rPr>
          <w:lang w:val="en-US"/>
        </w:rPr>
        <w:t>SMN2</w:t>
      </w:r>
      <w:r w:rsidRPr="00267217">
        <w:t xml:space="preserve"> варира от нула до пет. Двата гена се различават само по 5 базови двойки. </w:t>
      </w:r>
      <w:r w:rsidRPr="00267217">
        <w:rPr>
          <w:lang w:val="en-US"/>
        </w:rPr>
        <w:t xml:space="preserve">SMN1 </w:t>
      </w:r>
      <w:r w:rsidRPr="00267217">
        <w:t xml:space="preserve">произвежда пълен транскрипт докато при </w:t>
      </w:r>
      <w:r w:rsidRPr="00267217">
        <w:rPr>
          <w:lang w:val="en-US"/>
        </w:rPr>
        <w:t xml:space="preserve">SMN2 </w:t>
      </w:r>
      <w:r w:rsidRPr="00267217">
        <w:t>транскриптът липсва екзон 7</w:t>
      </w:r>
    </w:p>
    <w:p w:rsidR="00E840B7" w:rsidRPr="00267217" w:rsidRDefault="00991524" w:rsidP="00267217">
      <w:pPr>
        <w:numPr>
          <w:ilvl w:val="2"/>
          <w:numId w:val="19"/>
        </w:numPr>
      </w:pPr>
      <w:r w:rsidRPr="00267217">
        <w:rPr>
          <w:lang w:val="en-US"/>
        </w:rPr>
        <w:t>SMN1</w:t>
      </w:r>
      <w:r w:rsidRPr="00267217">
        <w:t xml:space="preserve"> (</w:t>
      </w:r>
      <w:r w:rsidRPr="00267217">
        <w:rPr>
          <w:lang w:val="en-US"/>
        </w:rPr>
        <w:t xml:space="preserve">survival motor neuron) e </w:t>
      </w:r>
      <w:r w:rsidRPr="00267217">
        <w:t>основният ген ангажиран със заболяването. Най-честите мутации са делеции на екзон 7 и 8</w:t>
      </w:r>
    </w:p>
    <w:p w:rsidR="00E840B7" w:rsidRPr="00267217" w:rsidRDefault="00991524" w:rsidP="00267217">
      <w:pPr>
        <w:numPr>
          <w:ilvl w:val="2"/>
          <w:numId w:val="19"/>
        </w:numPr>
      </w:pPr>
      <w:r w:rsidRPr="00267217">
        <w:rPr>
          <w:lang w:val="en-US"/>
        </w:rPr>
        <w:lastRenderedPageBreak/>
        <w:t xml:space="preserve">SMN2 – </w:t>
      </w:r>
      <w:r w:rsidRPr="00267217">
        <w:t>наличието на три или повече копия на гена корелира с по-лека фенотипна изява</w:t>
      </w:r>
    </w:p>
    <w:p w:rsidR="00E840B7" w:rsidRPr="00267217" w:rsidRDefault="00991524" w:rsidP="00267217">
      <w:pPr>
        <w:numPr>
          <w:ilvl w:val="2"/>
          <w:numId w:val="19"/>
        </w:numPr>
      </w:pPr>
      <w:r w:rsidRPr="00267217">
        <w:t xml:space="preserve">При 95-98% от пациентите с клинична диагноза </w:t>
      </w:r>
      <w:r w:rsidRPr="00267217">
        <w:rPr>
          <w:lang w:val="en-US"/>
        </w:rPr>
        <w:t>SMA</w:t>
      </w:r>
      <w:r w:rsidRPr="00267217">
        <w:t xml:space="preserve"> се открива хомозиготна делеция на екзон 7 на </w:t>
      </w:r>
      <w:r w:rsidRPr="00267217">
        <w:rPr>
          <w:lang w:val="en-US"/>
        </w:rPr>
        <w:t>SMN1</w:t>
      </w:r>
      <w:r w:rsidRPr="00267217">
        <w:t xml:space="preserve"> гена</w:t>
      </w:r>
    </w:p>
    <w:p w:rsidR="00E840B7" w:rsidRPr="00267217" w:rsidRDefault="00991524" w:rsidP="00267217">
      <w:pPr>
        <w:numPr>
          <w:ilvl w:val="2"/>
          <w:numId w:val="19"/>
        </w:numPr>
      </w:pPr>
      <w:r w:rsidRPr="00267217">
        <w:rPr>
          <w:lang w:val="en-US"/>
        </w:rPr>
        <w:t>~</w:t>
      </w:r>
      <w:r w:rsidRPr="00267217">
        <w:t xml:space="preserve"> 2-5% от пациентите са компаунд хетерозиготи за екзон 7 делеция и друга мутация в </w:t>
      </w:r>
      <w:r w:rsidRPr="00267217">
        <w:rPr>
          <w:lang w:val="en-US"/>
        </w:rPr>
        <w:t>SMN1</w:t>
      </w:r>
      <w:r w:rsidRPr="00267217">
        <w:t xml:space="preserve"> гена</w:t>
      </w:r>
    </w:p>
    <w:p w:rsidR="00E840B7" w:rsidRPr="00267217" w:rsidRDefault="00991524" w:rsidP="00267217">
      <w:pPr>
        <w:numPr>
          <w:ilvl w:val="2"/>
          <w:numId w:val="19"/>
        </w:numPr>
      </w:pPr>
      <w:r w:rsidRPr="00267217">
        <w:rPr>
          <w:lang w:val="en-US"/>
        </w:rPr>
        <w:t xml:space="preserve">SMA carrier test (SMA gene dosage analysis) – </w:t>
      </w:r>
      <w:r w:rsidRPr="00267217">
        <w:t xml:space="preserve">базира се на определяне на броя копия на </w:t>
      </w:r>
      <w:r w:rsidRPr="00267217">
        <w:rPr>
          <w:lang w:val="en-US"/>
        </w:rPr>
        <w:t xml:space="preserve">SMN1 </w:t>
      </w:r>
      <w:r w:rsidRPr="00267217">
        <w:t>гена, като съществува възможност за грешно интерпретиране на резулта, в случай че и двете копия са на една хромозома (</w:t>
      </w:r>
      <w:r w:rsidRPr="00267217">
        <w:rPr>
          <w:lang w:val="en-US"/>
        </w:rPr>
        <w:t>~</w:t>
      </w:r>
      <w:r w:rsidRPr="00267217">
        <w:t xml:space="preserve">4% от популацията) </w:t>
      </w:r>
    </w:p>
    <w:p w:rsidR="00267217" w:rsidRPr="00267217" w:rsidRDefault="00267217" w:rsidP="00267217">
      <w:r w:rsidRPr="00267217">
        <w:tab/>
        <w:t xml:space="preserve"> </w:t>
      </w:r>
    </w:p>
    <w:p w:rsidR="00267217" w:rsidRPr="00267217" w:rsidRDefault="00267217" w:rsidP="00267217">
      <w:r w:rsidRPr="00267217">
        <w:tab/>
        <w:t>Генетично консултиране</w:t>
      </w:r>
    </w:p>
    <w:p w:rsidR="00E840B7" w:rsidRPr="00267217" w:rsidRDefault="00991524" w:rsidP="00267217">
      <w:pPr>
        <w:numPr>
          <w:ilvl w:val="2"/>
          <w:numId w:val="20"/>
        </w:numPr>
      </w:pPr>
      <w:r w:rsidRPr="00267217">
        <w:rPr>
          <w:lang w:val="en-US"/>
        </w:rPr>
        <w:t>~</w:t>
      </w:r>
      <w:r w:rsidRPr="00267217">
        <w:t xml:space="preserve"> 98% от родителите на засегнато дете са хетерозиготи</w:t>
      </w:r>
    </w:p>
    <w:p w:rsidR="00E840B7" w:rsidRPr="00267217" w:rsidRDefault="00991524" w:rsidP="00267217">
      <w:pPr>
        <w:numPr>
          <w:ilvl w:val="2"/>
          <w:numId w:val="20"/>
        </w:numPr>
      </w:pPr>
      <w:r w:rsidRPr="00267217">
        <w:rPr>
          <w:lang w:val="en-US"/>
        </w:rPr>
        <w:t>~</w:t>
      </w:r>
      <w:r w:rsidRPr="00267217">
        <w:t xml:space="preserve"> 2% са случаите на </w:t>
      </w:r>
      <w:r w:rsidRPr="00267217">
        <w:rPr>
          <w:lang w:val="en-US"/>
        </w:rPr>
        <w:t xml:space="preserve">de novo </w:t>
      </w:r>
      <w:r w:rsidRPr="00267217">
        <w:t>мутация при един от родителите. Възможен е гонаден мозаицизъм</w:t>
      </w:r>
    </w:p>
    <w:p w:rsidR="00267217" w:rsidRPr="00267217" w:rsidRDefault="00267217" w:rsidP="00267217"/>
    <w:p w:rsidR="00267217" w:rsidRDefault="00267217" w:rsidP="00267217">
      <w:pPr>
        <w:rPr>
          <w:b/>
          <w:bCs/>
        </w:rPr>
      </w:pPr>
    </w:p>
    <w:p w:rsidR="00267217" w:rsidRPr="00267217" w:rsidRDefault="00267217" w:rsidP="00267217"/>
    <w:p w:rsidR="00F7228C" w:rsidRDefault="00C55154" w:rsidP="00565E61">
      <w:pPr>
        <w:pStyle w:val="Heading1"/>
      </w:pPr>
      <w:r>
        <w:t>Адреногенитален синдром</w:t>
      </w:r>
    </w:p>
    <w:p w:rsidR="00C55154" w:rsidRDefault="00C55154" w:rsidP="00C55154">
      <w:r>
        <w:t>Вродената надбъбре4на хиперплазия се нар. Адреногенитален синдром</w:t>
      </w:r>
    </w:p>
    <w:p w:rsidR="00C55154" w:rsidRDefault="00C55154" w:rsidP="00C55154">
      <w:r>
        <w:t>Това е група ав.рец.заболявания поради специфичен ензимен дефицит на едно от петте ензимни нива във синтезата на кортизола от надбъб. Кора . най често сресхтаната е формата с дефицит на 21хидроксилазата (90%) , 11б-хидроксилазата, 3б-хидроксистероиддехидрогенатазата и по рядко на 12-алфа-хидроксилазата и холестеролдезмолазата.</w:t>
      </w:r>
    </w:p>
    <w:p w:rsidR="00C55154" w:rsidRDefault="00C55154" w:rsidP="00C55154">
      <w:r>
        <w:t>А</w:t>
      </w:r>
      <w:r>
        <w:rPr>
          <w:lang w:val="en-US"/>
        </w:rPr>
        <w:t>)</w:t>
      </w:r>
      <w:r>
        <w:t xml:space="preserve">Локализация-21-хидроксилазата се кодира от 2 разли4ни гена локализирани в </w:t>
      </w:r>
      <w:r>
        <w:rPr>
          <w:lang w:val="en-US"/>
        </w:rPr>
        <w:t>HLA-</w:t>
      </w:r>
      <w:r>
        <w:t>клас 3 в късото рамо на 6-та хромозома.Единия ген е активен</w:t>
      </w:r>
      <w:r>
        <w:rPr>
          <w:lang w:val="en-US"/>
        </w:rPr>
        <w:t>CYP21</w:t>
      </w:r>
      <w:r>
        <w:t xml:space="preserve">, а другия </w:t>
      </w:r>
      <w:r>
        <w:rPr>
          <w:lang w:val="en-US"/>
        </w:rPr>
        <w:t xml:space="preserve">CYP21P </w:t>
      </w:r>
      <w:r>
        <w:t>е неактивен псевдоген.Двата гена имат 98% иденти4на последователност.</w:t>
      </w:r>
    </w:p>
    <w:p w:rsidR="00C55154" w:rsidRDefault="00C55154" w:rsidP="00C55154">
      <w:r>
        <w:t>Б)Генни мутации-повечето от тях се  носят нормално от псевдогена и вероятно рекомбинантни явления между двата гена водят до трансфер на мутации от псевдогена във функ. ген две трети от случаите се дължат на точкови мутации.</w:t>
      </w:r>
    </w:p>
    <w:p w:rsidR="00C55154" w:rsidRDefault="00C55154" w:rsidP="00C55154">
      <w:r>
        <w:t xml:space="preserve">Патогенеза: дифицита на ензима участващ при превръщането на 11дезоксикортизола в кортизол предизвиква абсолутна или частична кортизолова недостатъчност,която стимулира продукцията на АКТХ, а тои от своя страна повишен синтез на стероиди. При най тезката форма </w:t>
      </w:r>
      <w:r>
        <w:lastRenderedPageBreak/>
        <w:t xml:space="preserve">– вирилизация със загуба на сол се остановява понижена алдостеронова секреция за разлика от простатат вирилиация . </w:t>
      </w:r>
    </w:p>
    <w:p w:rsidR="00C55154" w:rsidRDefault="00C55154" w:rsidP="00C55154">
      <w:r>
        <w:t>Тип на онаследяване автозм.рецисив. честота на кл форма 1:14000 – 1:10000</w:t>
      </w:r>
      <w:r w:rsidR="0039451E">
        <w:t xml:space="preserve"> .</w:t>
      </w:r>
    </w:p>
    <w:p w:rsidR="0039451E" w:rsidRDefault="0039451E" w:rsidP="00C55154">
      <w:r>
        <w:t xml:space="preserve">Киника : А-Най тежката форма протича със загуба на сол и вирилизация поради дефицит а алдостерон  , интерсексуалитет пубертас прекокс .Б –средна по тежест С тежка вирилизация интерсексуални състояния и пубертос прекокс .В- наи лека некласическа – с прояви на хиперандрогенизам , като рзотизъ брарекокс акне наруше ния в мензиса и понжертилност . </w:t>
      </w:r>
    </w:p>
    <w:p w:rsidR="0039451E" w:rsidRDefault="0039451E" w:rsidP="00C55154">
      <w:r>
        <w:t>Хетерозиготите се откриват трудно използва се тест за стимулация на АКТХ . И се отчита повишен отговор на 17-ОН прогестерон .на 10 и 30 минута.</w:t>
      </w:r>
    </w:p>
    <w:p w:rsidR="0039451E" w:rsidRDefault="0039451E" w:rsidP="00C55154">
      <w:r>
        <w:t>Диагноза – родословен анализ и пренатален ДНК анализн на материал от хорионни въси в 10 12 седмица от бременоостта чрез ДНК анализ и Алел специфична ПСР . И постнатален ДНК анализ ПСР.. ССЦП</w:t>
      </w:r>
    </w:p>
    <w:p w:rsidR="0039451E" w:rsidRPr="00C55154" w:rsidRDefault="0039451E" w:rsidP="00C55154">
      <w:r>
        <w:t xml:space="preserve">Лечение – прекъсване на бременноста или лечение с дексаметазон по време на бременността </w:t>
      </w:r>
    </w:p>
    <w:p w:rsidR="00C55154" w:rsidRPr="00991524" w:rsidRDefault="00C55154" w:rsidP="00C55154">
      <w:pPr>
        <w:numPr>
          <w:ilvl w:val="2"/>
          <w:numId w:val="21"/>
        </w:numPr>
      </w:pPr>
    </w:p>
    <w:sectPr w:rsidR="00C55154" w:rsidRPr="00991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rt85"/>
        <o:lock v:ext="edit" cropping="t"/>
      </v:shape>
    </w:pict>
  </w:numPicBullet>
  <w:abstractNum w:abstractNumId="0">
    <w:nsid w:val="0ADA7555"/>
    <w:multiLevelType w:val="hybridMultilevel"/>
    <w:tmpl w:val="09B25228"/>
    <w:lvl w:ilvl="0" w:tplc="452CF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AEE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47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F6A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120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968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04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64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CE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171B6C"/>
    <w:multiLevelType w:val="hybridMultilevel"/>
    <w:tmpl w:val="8AC06322"/>
    <w:lvl w:ilvl="0" w:tplc="AE904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0F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E6B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84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925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1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AE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8C4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8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7F367A"/>
    <w:multiLevelType w:val="hybridMultilevel"/>
    <w:tmpl w:val="33106E66"/>
    <w:lvl w:ilvl="0" w:tplc="A5C4F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88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089F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47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4E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6A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8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A04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D8D672F"/>
    <w:multiLevelType w:val="hybridMultilevel"/>
    <w:tmpl w:val="9414413C"/>
    <w:lvl w:ilvl="0" w:tplc="26C6C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829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78E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E8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F6E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64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A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6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6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26B1BF2"/>
    <w:multiLevelType w:val="hybridMultilevel"/>
    <w:tmpl w:val="6FB84592"/>
    <w:lvl w:ilvl="0" w:tplc="86842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B03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20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4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04A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FC3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CA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85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801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85B76"/>
    <w:multiLevelType w:val="hybridMultilevel"/>
    <w:tmpl w:val="02888866"/>
    <w:lvl w:ilvl="0" w:tplc="43044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22F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A94E2">
      <w:start w:val="20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B40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1C2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A2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62D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AE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C3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CC4AC6"/>
    <w:multiLevelType w:val="hybridMultilevel"/>
    <w:tmpl w:val="9E965ED8"/>
    <w:lvl w:ilvl="0" w:tplc="E4CCE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766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80DB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F4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9C7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48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01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02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8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26163F"/>
    <w:multiLevelType w:val="hybridMultilevel"/>
    <w:tmpl w:val="4EEADB58"/>
    <w:lvl w:ilvl="0" w:tplc="710EA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76D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2B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A8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EC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C1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83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EA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7CC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53F02A0"/>
    <w:multiLevelType w:val="hybridMultilevel"/>
    <w:tmpl w:val="E47055B4"/>
    <w:lvl w:ilvl="0" w:tplc="67DCD1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295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87E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A62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0AE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EF6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81C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E615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E76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5E4657"/>
    <w:multiLevelType w:val="hybridMultilevel"/>
    <w:tmpl w:val="72CEDF82"/>
    <w:lvl w:ilvl="0" w:tplc="3448F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3032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81D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FEBC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9EC6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227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4C8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CADC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50E4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7BA1A24"/>
    <w:multiLevelType w:val="hybridMultilevel"/>
    <w:tmpl w:val="318C4E0C"/>
    <w:lvl w:ilvl="0" w:tplc="8B70F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889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06D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3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E4A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362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94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0E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8A1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8513696"/>
    <w:multiLevelType w:val="hybridMultilevel"/>
    <w:tmpl w:val="88F6CB94"/>
    <w:lvl w:ilvl="0" w:tplc="67861C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0E1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A471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5A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C04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EE0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92E0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248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826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736CA8"/>
    <w:multiLevelType w:val="hybridMultilevel"/>
    <w:tmpl w:val="690A341E"/>
    <w:lvl w:ilvl="0" w:tplc="C0285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8E2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C82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6A4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AA2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9C1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A3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81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74A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D713D82"/>
    <w:multiLevelType w:val="hybridMultilevel"/>
    <w:tmpl w:val="D7A429DC"/>
    <w:lvl w:ilvl="0" w:tplc="6230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EAD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3CC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6E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27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A2A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A68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00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02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7C56B48"/>
    <w:multiLevelType w:val="hybridMultilevel"/>
    <w:tmpl w:val="EE7A522A"/>
    <w:lvl w:ilvl="0" w:tplc="A978F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8FC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47B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F8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A8F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CAF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8DE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E6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8C8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65670C"/>
    <w:multiLevelType w:val="hybridMultilevel"/>
    <w:tmpl w:val="2346914C"/>
    <w:lvl w:ilvl="0" w:tplc="79007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1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4AD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8E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58A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C0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0E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768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02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4E31A0C"/>
    <w:multiLevelType w:val="hybridMultilevel"/>
    <w:tmpl w:val="01A802FE"/>
    <w:lvl w:ilvl="0" w:tplc="4A68F1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AB9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F6BC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B622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ACF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8833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5048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69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F67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7FA1E70"/>
    <w:multiLevelType w:val="hybridMultilevel"/>
    <w:tmpl w:val="C2E45340"/>
    <w:lvl w:ilvl="0" w:tplc="3E6C4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44E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14D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23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500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A5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6CF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2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EAA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F1126C7"/>
    <w:multiLevelType w:val="hybridMultilevel"/>
    <w:tmpl w:val="AA1A158C"/>
    <w:lvl w:ilvl="0" w:tplc="EB1C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A0D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2E6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AA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B20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06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400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04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E49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70C6A08"/>
    <w:multiLevelType w:val="hybridMultilevel"/>
    <w:tmpl w:val="09D81B3E"/>
    <w:lvl w:ilvl="0" w:tplc="7ECE1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A0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980A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29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9AA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2A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B65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460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24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BA65BC1"/>
    <w:multiLevelType w:val="hybridMultilevel"/>
    <w:tmpl w:val="739ED66E"/>
    <w:lvl w:ilvl="0" w:tplc="B66E3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AA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E4B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82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F6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B43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CE5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EB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D65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FAD5845"/>
    <w:multiLevelType w:val="hybridMultilevel"/>
    <w:tmpl w:val="3188874A"/>
    <w:lvl w:ilvl="0" w:tplc="CA9E9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722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3CF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EA5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D06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49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706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F63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A4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9"/>
  </w:num>
  <w:num w:numId="5">
    <w:abstractNumId w:val="16"/>
  </w:num>
  <w:num w:numId="6">
    <w:abstractNumId w:val="15"/>
  </w:num>
  <w:num w:numId="7">
    <w:abstractNumId w:val="17"/>
  </w:num>
  <w:num w:numId="8">
    <w:abstractNumId w:val="11"/>
  </w:num>
  <w:num w:numId="9">
    <w:abstractNumId w:val="7"/>
  </w:num>
  <w:num w:numId="10">
    <w:abstractNumId w:val="1"/>
  </w:num>
  <w:num w:numId="11">
    <w:abstractNumId w:val="3"/>
  </w:num>
  <w:num w:numId="12">
    <w:abstractNumId w:val="5"/>
  </w:num>
  <w:num w:numId="13">
    <w:abstractNumId w:val="20"/>
  </w:num>
  <w:num w:numId="14">
    <w:abstractNumId w:val="21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2"/>
  </w:num>
  <w:num w:numId="20">
    <w:abstractNumId w:val="10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17"/>
    <w:rsid w:val="00267217"/>
    <w:rsid w:val="0039451E"/>
    <w:rsid w:val="00565E61"/>
    <w:rsid w:val="007F34A8"/>
    <w:rsid w:val="007F722A"/>
    <w:rsid w:val="00991524"/>
    <w:rsid w:val="00C55154"/>
    <w:rsid w:val="00DF62CD"/>
    <w:rsid w:val="00E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672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67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672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67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8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96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0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02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7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43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89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8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26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18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81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43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9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4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9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8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9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2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8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3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8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22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5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4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49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37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04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9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73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73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0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9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5</cp:revision>
  <dcterms:created xsi:type="dcterms:W3CDTF">2012-01-23T11:11:00Z</dcterms:created>
  <dcterms:modified xsi:type="dcterms:W3CDTF">2012-01-23T12:43:00Z</dcterms:modified>
</cp:coreProperties>
</file>