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8A7" w:rsidRDefault="009748A7" w:rsidP="009748A7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Директен (мутационен) и индиректен (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полиморфен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) ДНК-анализ – предимства, недостатъци и приложение. Техники (методи) за директен и индиректен ДНК-анализ.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proofErr w:type="spellStart"/>
      <w:proofErr w:type="gram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Разкриване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на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мутациина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ДНК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ниво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.</w:t>
      </w:r>
      <w:proofErr w:type="gram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ДНК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анализ</w:t>
      </w:r>
      <w:proofErr w:type="spellEnd"/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I.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Общи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стадии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ДНк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анализа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Изолация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ДНК</w:t>
      </w:r>
      <w:bookmarkStart w:id="0" w:name="_GoBack"/>
      <w:bookmarkEnd w:id="0"/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ab/>
        <w:t xml:space="preserve">        </w:t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sym w:font="Symbol" w:char="F0AA"/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Амплификация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ДНК -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Полимеразно-верижна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реакция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(PCR)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Тестуване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ДНК -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елестрофореза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в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агарозен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гел</w:t>
      </w:r>
      <w:proofErr w:type="spellEnd"/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II.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Подходи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за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ДНК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анализ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</w:t>
      </w:r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1.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Директен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ДНК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анализ</w:t>
      </w:r>
      <w:proofErr w:type="spellEnd"/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1.1.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Техника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за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мутационно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  <w:u w:val="single"/>
        </w:rPr>
        <w:t>скриниране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sym w:font="Symbol" w:char="F0AA"/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Single Stranded Conformational Polymorphism’s </w:t>
      </w:r>
      <w:proofErr w:type="gram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Analysis  (</w:t>
      </w:r>
      <w:proofErr w:type="gram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>SSCP)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Heteroduplex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Analysis (HA) 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Multiplex Polymerase Chain Reaction (Multiplex PCR)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1.2.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Техника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за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диагностика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специфични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мутации</w:t>
      </w:r>
      <w:proofErr w:type="spellEnd"/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sym w:font="Symbol" w:char="F0AA"/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Southern Blotting Analysis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Allele Specific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Olygonucleotide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Analysis (ASO Analysis)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Amplification Refractory Mutation System (ARMS)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tab/>
        <w:t xml:space="preserve">        </w:t>
      </w:r>
      <w:proofErr w:type="gram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я</w:t>
      </w:r>
      <w:proofErr w:type="gramEnd"/>
      <w:r w:rsidRPr="00EB3922">
        <w:rPr>
          <w:rFonts w:ascii="Tahoma" w:eastAsia="Times New Roman" w:hAnsi="Tahoma" w:cs="Tahoma"/>
          <w:color w:val="333333"/>
          <w:sz w:val="20"/>
          <w:szCs w:val="20"/>
        </w:rPr>
        <w:sym w:font="Symbol" w:char="F0AA"/>
      </w: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Restriction Analysis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DNA Sequencing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</w:t>
      </w:r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2.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Индиректен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ДНК </w:t>
      </w:r>
      <w:proofErr w:type="spellStart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>анализ</w:t>
      </w:r>
      <w:proofErr w:type="spellEnd"/>
      <w:r w:rsidRPr="00EB3922">
        <w:rPr>
          <w:rFonts w:ascii="Tahoma" w:eastAsia="Times New Roman" w:hAnsi="Tahoma" w:cs="Tahoma"/>
          <w:b/>
          <w:bCs/>
          <w:color w:val="333333"/>
          <w:sz w:val="20"/>
          <w:szCs w:val="20"/>
        </w:rPr>
        <w:t xml:space="preserve"> 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 Restriction Fragment Length Polymorphism’s (RFLP-Analysis)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 Amplified Fragment Length Polymorphism’s Analysis (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AmpFLP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) </w:t>
      </w:r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3.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Доказване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генна</w:t>
      </w:r>
      <w:proofErr w:type="spellEnd"/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</w:t>
      </w:r>
      <w:proofErr w:type="spellStart"/>
      <w:r w:rsidRPr="00EB3922">
        <w:rPr>
          <w:rFonts w:ascii="Tahoma" w:eastAsia="Times New Roman" w:hAnsi="Tahoma" w:cs="Tahoma"/>
          <w:color w:val="333333"/>
          <w:sz w:val="20"/>
          <w:szCs w:val="20"/>
        </w:rPr>
        <w:t>експресия</w:t>
      </w:r>
      <w:proofErr w:type="spellEnd"/>
    </w:p>
    <w:p w:rsidR="00EB3922" w:rsidRPr="00EB3922" w:rsidRDefault="00EB3922" w:rsidP="00EB392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0"/>
          <w:szCs w:val="20"/>
        </w:rPr>
      </w:pPr>
      <w:r w:rsidRPr="00EB3922">
        <w:rPr>
          <w:rFonts w:ascii="Tahoma" w:eastAsia="Times New Roman" w:hAnsi="Tahoma" w:cs="Tahoma"/>
          <w:color w:val="333333"/>
          <w:sz w:val="20"/>
          <w:szCs w:val="20"/>
        </w:rPr>
        <w:t xml:space="preserve">                           Reverse Transcriptase PCR analysis </w:t>
      </w:r>
    </w:p>
    <w:p w:rsidR="00EB3922" w:rsidRPr="00EB3922" w:rsidRDefault="00EB3922" w:rsidP="009748A7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</w:p>
    <w:p w:rsidR="003707B1" w:rsidRDefault="0057700B" w:rsidP="009748A7">
      <w:pPr>
        <w:rPr>
          <w:b/>
          <w:bCs/>
        </w:rPr>
      </w:pPr>
      <w:r w:rsidRPr="0057700B">
        <w:rPr>
          <w:b/>
          <w:bCs/>
          <w:lang w:val="bg-BG"/>
        </w:rPr>
        <w:t>Молекулярно –</w:t>
      </w:r>
      <w:r w:rsidRPr="0057700B">
        <w:rPr>
          <w:b/>
          <w:bCs/>
        </w:rPr>
        <w:t xml:space="preserve"> </w:t>
      </w:r>
      <w:proofErr w:type="spellStart"/>
      <w:r w:rsidRPr="0057700B">
        <w:rPr>
          <w:b/>
          <w:bCs/>
          <w:lang w:val="bg-BG"/>
        </w:rPr>
        <w:t>цитогенетични</w:t>
      </w:r>
      <w:proofErr w:type="spellEnd"/>
      <w:r w:rsidRPr="0057700B">
        <w:rPr>
          <w:b/>
          <w:bCs/>
          <w:lang w:val="bg-BG"/>
        </w:rPr>
        <w:t xml:space="preserve"> методи</w:t>
      </w:r>
      <w:r>
        <w:rPr>
          <w:b/>
          <w:bCs/>
        </w:rPr>
        <w:t>:</w:t>
      </w:r>
    </w:p>
    <w:p w:rsidR="0057700B" w:rsidRPr="0057700B" w:rsidRDefault="0057700B" w:rsidP="0057700B">
      <w:r w:rsidRPr="0057700B">
        <w:rPr>
          <w:lang w:val="bg-BG"/>
        </w:rPr>
        <w:t>Б</w:t>
      </w:r>
      <w:proofErr w:type="spellStart"/>
      <w:r w:rsidRPr="0057700B">
        <w:rPr>
          <w:lang w:val="ru-RU"/>
        </w:rPr>
        <w:t>азира</w:t>
      </w:r>
      <w:proofErr w:type="spellEnd"/>
      <w:r w:rsidRPr="0057700B">
        <w:rPr>
          <w:lang w:val="ru-RU"/>
        </w:rPr>
        <w:t xml:space="preserve"> се на </w:t>
      </w:r>
      <w:proofErr w:type="spellStart"/>
      <w:r w:rsidRPr="0057700B">
        <w:rPr>
          <w:lang w:val="ru-RU"/>
        </w:rPr>
        <w:t>уникалната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възможност</w:t>
      </w:r>
      <w:proofErr w:type="spellEnd"/>
      <w:r w:rsidRPr="0057700B">
        <w:rPr>
          <w:lang w:val="ru-RU"/>
        </w:rPr>
        <w:t xml:space="preserve"> на част от </w:t>
      </w:r>
      <w:proofErr w:type="spellStart"/>
      <w:r w:rsidRPr="0057700B">
        <w:rPr>
          <w:b/>
          <w:bCs/>
          <w:lang w:val="ru-RU"/>
        </w:rPr>
        <w:t>едноверижна</w:t>
      </w:r>
      <w:proofErr w:type="spellEnd"/>
      <w:r w:rsidRPr="0057700B">
        <w:rPr>
          <w:b/>
          <w:bCs/>
          <w:lang w:val="ru-RU"/>
        </w:rPr>
        <w:t xml:space="preserve"> ДНК</w:t>
      </w:r>
      <w:r w:rsidRPr="0057700B">
        <w:rPr>
          <w:lang w:val="ru-RU"/>
        </w:rPr>
        <w:t xml:space="preserve"> (</w:t>
      </w:r>
      <w:proofErr w:type="spellStart"/>
      <w:r w:rsidRPr="0057700B">
        <w:rPr>
          <w:lang w:val="ru-RU"/>
        </w:rPr>
        <w:t>сонда</w:t>
      </w:r>
      <w:proofErr w:type="spellEnd"/>
      <w:r w:rsidRPr="0057700B">
        <w:rPr>
          <w:lang w:val="ru-RU"/>
        </w:rPr>
        <w:t xml:space="preserve">) да </w:t>
      </w:r>
      <w:proofErr w:type="spellStart"/>
      <w:r w:rsidRPr="0057700B">
        <w:rPr>
          <w:lang w:val="ru-RU"/>
        </w:rPr>
        <w:t>хибридизира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със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своята</w:t>
      </w:r>
      <w:proofErr w:type="spellEnd"/>
      <w:r w:rsidRPr="0057700B">
        <w:rPr>
          <w:lang w:val="ru-RU"/>
        </w:rPr>
        <w:t xml:space="preserve"> комплементарна </w:t>
      </w:r>
      <w:proofErr w:type="spellStart"/>
      <w:r w:rsidRPr="0057700B">
        <w:rPr>
          <w:lang w:val="ru-RU"/>
        </w:rPr>
        <w:t>прицелна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последователност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където</w:t>
      </w:r>
      <w:proofErr w:type="spellEnd"/>
      <w:r w:rsidRPr="0057700B">
        <w:rPr>
          <w:lang w:val="ru-RU"/>
        </w:rPr>
        <w:t xml:space="preserve"> и да е </w:t>
      </w:r>
      <w:proofErr w:type="spellStart"/>
      <w:r w:rsidRPr="0057700B">
        <w:rPr>
          <w:lang w:val="ru-RU"/>
        </w:rPr>
        <w:t>локализирана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тя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върху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метафазна</w:t>
      </w:r>
      <w:proofErr w:type="spellEnd"/>
      <w:r w:rsidRPr="0057700B">
        <w:rPr>
          <w:lang w:val="ru-RU"/>
        </w:rPr>
        <w:t xml:space="preserve"> пластинка или </w:t>
      </w:r>
      <w:proofErr w:type="spellStart"/>
      <w:r w:rsidRPr="0057700B">
        <w:rPr>
          <w:lang w:val="ru-RU"/>
        </w:rPr>
        <w:t>имобилизирани</w:t>
      </w:r>
      <w:proofErr w:type="spellEnd"/>
      <w:r w:rsidRPr="0057700B">
        <w:rPr>
          <w:lang w:val="ru-RU"/>
        </w:rPr>
        <w:t xml:space="preserve"> </w:t>
      </w:r>
      <w:proofErr w:type="spellStart"/>
      <w:r w:rsidRPr="0057700B">
        <w:rPr>
          <w:lang w:val="ru-RU"/>
        </w:rPr>
        <w:t>интерфазни</w:t>
      </w:r>
      <w:proofErr w:type="spellEnd"/>
      <w:r w:rsidRPr="0057700B">
        <w:rPr>
          <w:lang w:val="ru-RU"/>
        </w:rPr>
        <w:t xml:space="preserve"> ядра на </w:t>
      </w:r>
      <w:proofErr w:type="spellStart"/>
      <w:r w:rsidRPr="0057700B">
        <w:rPr>
          <w:lang w:val="ru-RU"/>
        </w:rPr>
        <w:t>неделящи</w:t>
      </w:r>
      <w:proofErr w:type="spellEnd"/>
      <w:r w:rsidRPr="0057700B">
        <w:rPr>
          <w:lang w:val="ru-RU"/>
        </w:rPr>
        <w:t xml:space="preserve"> се клетки. </w:t>
      </w:r>
    </w:p>
    <w:p w:rsidR="00000000" w:rsidRPr="0057700B" w:rsidRDefault="009D3F34" w:rsidP="0057700B">
      <w:pPr>
        <w:numPr>
          <w:ilvl w:val="0"/>
          <w:numId w:val="2"/>
        </w:numPr>
      </w:pPr>
      <w:r w:rsidRPr="0057700B">
        <w:rPr>
          <w:lang w:val="bg-BG"/>
        </w:rPr>
        <w:t>ДНК</w:t>
      </w:r>
      <w:r w:rsidRPr="0057700B">
        <w:t xml:space="preserve"> </w:t>
      </w:r>
      <w:r w:rsidRPr="0057700B">
        <w:rPr>
          <w:lang w:val="bg-BG"/>
        </w:rPr>
        <w:t>анализът може да се извърши директно, чрез доказване на специфична болестна мутация в съответния ген, или индиректно, чрез п</w:t>
      </w:r>
      <w:r w:rsidRPr="0057700B">
        <w:rPr>
          <w:lang w:val="bg-BG"/>
        </w:rPr>
        <w:t xml:space="preserve">роследяване унаследяването в конкретна фамилия на ДНК </w:t>
      </w:r>
      <w:proofErr w:type="spellStart"/>
      <w:r w:rsidRPr="0057700B">
        <w:rPr>
          <w:lang w:val="bg-BG"/>
        </w:rPr>
        <w:t>полиморфни</w:t>
      </w:r>
      <w:proofErr w:type="spellEnd"/>
      <w:r w:rsidRPr="0057700B">
        <w:rPr>
          <w:lang w:val="bg-BG"/>
        </w:rPr>
        <w:t xml:space="preserve"> маркери, разположени в или близо до интересуващия ни ген </w:t>
      </w:r>
    </w:p>
    <w:p w:rsidR="00000000" w:rsidRPr="0057700B" w:rsidRDefault="009D3F34" w:rsidP="0057700B">
      <w:pPr>
        <w:numPr>
          <w:ilvl w:val="0"/>
          <w:numId w:val="2"/>
        </w:numPr>
      </w:pPr>
      <w:r w:rsidRPr="0057700B">
        <w:rPr>
          <w:lang w:val="bg-BG"/>
        </w:rPr>
        <w:t>Подходи за ДНК диагностика:</w:t>
      </w:r>
    </w:p>
    <w:p w:rsidR="00000000" w:rsidRPr="0057700B" w:rsidRDefault="009D3F34" w:rsidP="0057700B">
      <w:pPr>
        <w:numPr>
          <w:ilvl w:val="2"/>
          <w:numId w:val="2"/>
        </w:numPr>
      </w:pPr>
      <w:r w:rsidRPr="0057700B">
        <w:rPr>
          <w:lang w:val="bg-BG"/>
        </w:rPr>
        <w:t>Директен (мутационен) анализ</w:t>
      </w:r>
    </w:p>
    <w:p w:rsidR="00000000" w:rsidRPr="0057700B" w:rsidRDefault="009D3F34" w:rsidP="0057700B">
      <w:pPr>
        <w:numPr>
          <w:ilvl w:val="2"/>
          <w:numId w:val="2"/>
        </w:numPr>
      </w:pPr>
      <w:r w:rsidRPr="0057700B">
        <w:rPr>
          <w:lang w:val="bg-BG"/>
        </w:rPr>
        <w:t>Индиректен (</w:t>
      </w:r>
      <w:proofErr w:type="spellStart"/>
      <w:r w:rsidRPr="0057700B">
        <w:rPr>
          <w:lang w:val="bg-BG"/>
        </w:rPr>
        <w:t>полиморфен</w:t>
      </w:r>
      <w:proofErr w:type="spellEnd"/>
      <w:r w:rsidRPr="0057700B">
        <w:rPr>
          <w:lang w:val="bg-BG"/>
        </w:rPr>
        <w:t>) анализ</w:t>
      </w:r>
    </w:p>
    <w:p w:rsidR="0057700B" w:rsidRDefault="0057700B" w:rsidP="009748A7">
      <w:r w:rsidRPr="0057700B">
        <w:rPr>
          <w:lang w:val="bg-BG"/>
        </w:rPr>
        <w:t>Директен ДНК анализ</w:t>
      </w:r>
      <w:r>
        <w:t>:</w:t>
      </w:r>
    </w:p>
    <w:p w:rsidR="00000000" w:rsidRPr="0057700B" w:rsidRDefault="009D3F34" w:rsidP="0057700B">
      <w:pPr>
        <w:numPr>
          <w:ilvl w:val="0"/>
          <w:numId w:val="3"/>
        </w:numPr>
      </w:pPr>
      <w:r w:rsidRPr="0057700B">
        <w:rPr>
          <w:lang w:val="bg-BG"/>
        </w:rPr>
        <w:t xml:space="preserve">Предимства – точност на диагнозата и възможност да се докаже  мутацията в конкретен индивид без да е необходимо изследване да други </w:t>
      </w:r>
      <w:proofErr w:type="spellStart"/>
      <w:r w:rsidRPr="0057700B">
        <w:rPr>
          <w:lang w:val="bg-BG"/>
        </w:rPr>
        <w:t>родственици</w:t>
      </w:r>
      <w:proofErr w:type="spellEnd"/>
    </w:p>
    <w:p w:rsidR="00000000" w:rsidRPr="0057700B" w:rsidRDefault="009D3F34" w:rsidP="0057700B">
      <w:pPr>
        <w:numPr>
          <w:ilvl w:val="0"/>
          <w:numId w:val="3"/>
        </w:numPr>
      </w:pPr>
      <w:r w:rsidRPr="0057700B">
        <w:rPr>
          <w:lang w:val="bg-BG"/>
        </w:rPr>
        <w:t>Огранич</w:t>
      </w:r>
      <w:r w:rsidRPr="0057700B">
        <w:rPr>
          <w:lang w:val="bg-BG"/>
        </w:rPr>
        <w:t>ения – приложение при изследване на известни гени; необходима е предварителна информация за локализацията, вида и честотата на най-честите мутации в гена за конкретната  популация; неефективност  при голям брой мутации в един ген</w:t>
      </w:r>
    </w:p>
    <w:p w:rsidR="00000000" w:rsidRPr="0057700B" w:rsidRDefault="009D3F34" w:rsidP="0057700B">
      <w:pPr>
        <w:numPr>
          <w:ilvl w:val="0"/>
          <w:numId w:val="3"/>
        </w:numPr>
      </w:pPr>
      <w:r w:rsidRPr="0057700B">
        <w:rPr>
          <w:lang w:val="bg-BG"/>
        </w:rPr>
        <w:t>Приложение – за откриване на мутации при някои от най-разпространените наследствени заболявания (</w:t>
      </w:r>
      <w:proofErr w:type="spellStart"/>
      <w:r w:rsidRPr="0057700B">
        <w:rPr>
          <w:lang w:val="bg-BG"/>
        </w:rPr>
        <w:t>кистична</w:t>
      </w:r>
      <w:proofErr w:type="spellEnd"/>
      <w:r w:rsidRPr="0057700B">
        <w:rPr>
          <w:lang w:val="bg-BG"/>
        </w:rPr>
        <w:t xml:space="preserve"> </w:t>
      </w:r>
      <w:proofErr w:type="spellStart"/>
      <w:r w:rsidRPr="0057700B">
        <w:rPr>
          <w:lang w:val="bg-BG"/>
        </w:rPr>
        <w:t>фиброза</w:t>
      </w:r>
      <w:proofErr w:type="spellEnd"/>
      <w:r w:rsidRPr="0057700B">
        <w:rPr>
          <w:lang w:val="bg-BG"/>
        </w:rPr>
        <w:t xml:space="preserve">; мускулна </w:t>
      </w:r>
      <w:proofErr w:type="spellStart"/>
      <w:r w:rsidRPr="0057700B">
        <w:rPr>
          <w:lang w:val="bg-BG"/>
        </w:rPr>
        <w:t>дистрофия</w:t>
      </w:r>
      <w:proofErr w:type="spellEnd"/>
      <w:r w:rsidRPr="0057700B">
        <w:rPr>
          <w:lang w:val="bg-BG"/>
        </w:rPr>
        <w:t xml:space="preserve"> </w:t>
      </w:r>
      <w:proofErr w:type="spellStart"/>
      <w:r w:rsidRPr="0057700B">
        <w:rPr>
          <w:lang w:val="bg-BG"/>
        </w:rPr>
        <w:t>Дюшен</w:t>
      </w:r>
      <w:proofErr w:type="spellEnd"/>
      <w:r w:rsidRPr="0057700B">
        <w:rPr>
          <w:lang w:val="bg-BG"/>
        </w:rPr>
        <w:t xml:space="preserve">/Бекер; </w:t>
      </w:r>
      <w:proofErr w:type="spellStart"/>
      <w:r w:rsidRPr="0057700B">
        <w:rPr>
          <w:lang w:val="bg-BG"/>
        </w:rPr>
        <w:t>таласемии</w:t>
      </w:r>
      <w:proofErr w:type="spellEnd"/>
      <w:r w:rsidRPr="0057700B">
        <w:rPr>
          <w:lang w:val="bg-BG"/>
        </w:rPr>
        <w:t>)</w:t>
      </w:r>
    </w:p>
    <w:p w:rsidR="0057700B" w:rsidRDefault="0057700B" w:rsidP="009748A7">
      <w:r w:rsidRPr="0057700B">
        <w:rPr>
          <w:lang w:val="bg-BG"/>
        </w:rPr>
        <w:t>Индиректен ДНК анализ</w:t>
      </w:r>
      <w:r>
        <w:t>:</w:t>
      </w:r>
    </w:p>
    <w:p w:rsidR="00000000" w:rsidRPr="0057700B" w:rsidRDefault="009D3F34" w:rsidP="0057700B">
      <w:pPr>
        <w:numPr>
          <w:ilvl w:val="0"/>
          <w:numId w:val="4"/>
        </w:numPr>
      </w:pPr>
      <w:r w:rsidRPr="0057700B">
        <w:rPr>
          <w:lang w:val="bg-BG"/>
        </w:rPr>
        <w:t xml:space="preserve">Основава се на проследяване в определена фамилия начина на унаследяване на специфичен </w:t>
      </w:r>
      <w:proofErr w:type="spellStart"/>
      <w:r w:rsidRPr="0057700B">
        <w:rPr>
          <w:lang w:val="bg-BG"/>
        </w:rPr>
        <w:t>полиморфен</w:t>
      </w:r>
      <w:proofErr w:type="spellEnd"/>
      <w:r w:rsidRPr="0057700B">
        <w:rPr>
          <w:lang w:val="bg-BG"/>
        </w:rPr>
        <w:t xml:space="preserve"> маркер, който е скачен  с патологичен </w:t>
      </w:r>
      <w:proofErr w:type="spellStart"/>
      <w:r w:rsidRPr="0057700B">
        <w:rPr>
          <w:lang w:val="bg-BG"/>
        </w:rPr>
        <w:t>мутантен</w:t>
      </w:r>
      <w:proofErr w:type="spellEnd"/>
      <w:r w:rsidRPr="0057700B">
        <w:rPr>
          <w:lang w:val="bg-BG"/>
        </w:rPr>
        <w:t xml:space="preserve"> ген.</w:t>
      </w:r>
    </w:p>
    <w:p w:rsidR="00000000" w:rsidRPr="0057700B" w:rsidRDefault="009D3F34" w:rsidP="0057700B">
      <w:pPr>
        <w:numPr>
          <w:ilvl w:val="0"/>
          <w:numId w:val="4"/>
        </w:numPr>
      </w:pPr>
      <w:r w:rsidRPr="0057700B">
        <w:rPr>
          <w:lang w:val="bg-BG"/>
        </w:rPr>
        <w:t>Индиректният анализ не дава отговор за природата на молекулния дефект, лежащ в основата на заболяването, но дава информация за генетичния статус на индивида</w:t>
      </w:r>
    </w:p>
    <w:p w:rsidR="00000000" w:rsidRPr="0057700B" w:rsidRDefault="009D3F34" w:rsidP="0057700B">
      <w:pPr>
        <w:numPr>
          <w:ilvl w:val="0"/>
          <w:numId w:val="4"/>
        </w:numPr>
      </w:pPr>
      <w:r w:rsidRPr="0057700B">
        <w:rPr>
          <w:lang w:val="bg-BG"/>
        </w:rPr>
        <w:t xml:space="preserve">Условия : </w:t>
      </w:r>
    </w:p>
    <w:p w:rsidR="00000000" w:rsidRPr="0057700B" w:rsidRDefault="009D3F34" w:rsidP="0057700B">
      <w:pPr>
        <w:numPr>
          <w:ilvl w:val="1"/>
          <w:numId w:val="4"/>
        </w:numPr>
      </w:pPr>
      <w:r w:rsidRPr="0057700B">
        <w:rPr>
          <w:lang w:val="bg-BG"/>
        </w:rPr>
        <w:t>сигурна клинична диагноза при индексния пациент</w:t>
      </w:r>
    </w:p>
    <w:p w:rsidR="00000000" w:rsidRPr="0057700B" w:rsidRDefault="009D3F34" w:rsidP="0057700B">
      <w:pPr>
        <w:numPr>
          <w:ilvl w:val="1"/>
          <w:numId w:val="4"/>
        </w:numPr>
      </w:pPr>
      <w:r w:rsidRPr="0057700B">
        <w:rPr>
          <w:lang w:val="bg-BG"/>
        </w:rPr>
        <w:t xml:space="preserve">изследване на достатъчно голям брой </w:t>
      </w:r>
      <w:proofErr w:type="spellStart"/>
      <w:r w:rsidRPr="0057700B">
        <w:rPr>
          <w:lang w:val="bg-BG"/>
        </w:rPr>
        <w:t>родственици</w:t>
      </w:r>
      <w:proofErr w:type="spellEnd"/>
      <w:r w:rsidRPr="0057700B">
        <w:rPr>
          <w:lang w:val="bg-BG"/>
        </w:rPr>
        <w:t xml:space="preserve"> (минимум родители и болно дете)</w:t>
      </w:r>
    </w:p>
    <w:p w:rsidR="00000000" w:rsidRPr="0057700B" w:rsidRDefault="009D3F34" w:rsidP="0057700B">
      <w:pPr>
        <w:numPr>
          <w:ilvl w:val="1"/>
          <w:numId w:val="4"/>
        </w:numPr>
      </w:pPr>
      <w:r w:rsidRPr="0057700B">
        <w:rPr>
          <w:lang w:val="bg-BG"/>
        </w:rPr>
        <w:lastRenderedPageBreak/>
        <w:t>възможност за рекомбинация (особено при отдалеченос</w:t>
      </w:r>
      <w:r w:rsidRPr="0057700B">
        <w:rPr>
          <w:lang w:val="bg-BG"/>
        </w:rPr>
        <w:t>т на маркера от гена или при големи гени)</w:t>
      </w:r>
    </w:p>
    <w:p w:rsidR="0057700B" w:rsidRDefault="0057700B" w:rsidP="009748A7">
      <w:pPr>
        <w:rPr>
          <w:b/>
          <w:bCs/>
        </w:rPr>
      </w:pPr>
      <w:proofErr w:type="spellStart"/>
      <w:r w:rsidRPr="0057700B">
        <w:rPr>
          <w:b/>
          <w:bCs/>
          <w:lang w:val="bg-BG"/>
        </w:rPr>
        <w:t>Кистична</w:t>
      </w:r>
      <w:proofErr w:type="spellEnd"/>
      <w:r w:rsidRPr="0057700B">
        <w:rPr>
          <w:b/>
          <w:bCs/>
          <w:lang w:val="bg-BG"/>
        </w:rPr>
        <w:t xml:space="preserve"> </w:t>
      </w:r>
      <w:proofErr w:type="spellStart"/>
      <w:r w:rsidRPr="0057700B">
        <w:rPr>
          <w:b/>
          <w:bCs/>
          <w:lang w:val="bg-BG"/>
        </w:rPr>
        <w:t>фиброза</w:t>
      </w:r>
      <w:proofErr w:type="spellEnd"/>
      <w:r w:rsidRPr="0057700B">
        <w:rPr>
          <w:b/>
          <w:bCs/>
          <w:lang w:val="bg-BG"/>
        </w:rPr>
        <w:t xml:space="preserve"> – индиректен ДНК анализ</w:t>
      </w:r>
      <w:r>
        <w:rPr>
          <w:b/>
          <w:bCs/>
        </w:rPr>
        <w:t>:</w:t>
      </w:r>
    </w:p>
    <w:p w:rsidR="009D3F34" w:rsidRPr="0057700B" w:rsidRDefault="009D3F34" w:rsidP="0057700B">
      <w:pPr>
        <w:numPr>
          <w:ilvl w:val="0"/>
          <w:numId w:val="5"/>
        </w:numPr>
      </w:pPr>
      <w:r w:rsidRPr="0057700B">
        <w:rPr>
          <w:lang w:val="bg-BG"/>
        </w:rPr>
        <w:t xml:space="preserve">Установяването на някои ДНК </w:t>
      </w:r>
      <w:proofErr w:type="spellStart"/>
      <w:r w:rsidRPr="0057700B">
        <w:rPr>
          <w:lang w:val="bg-BG"/>
        </w:rPr>
        <w:t>полиморфизми</w:t>
      </w:r>
      <w:proofErr w:type="spellEnd"/>
      <w:r w:rsidRPr="0057700B">
        <w:rPr>
          <w:lang w:val="bg-BG"/>
        </w:rPr>
        <w:t xml:space="preserve">, които са тясно свързани с </w:t>
      </w:r>
      <w:proofErr w:type="spellStart"/>
      <w:r w:rsidRPr="0057700B">
        <w:rPr>
          <w:lang w:val="bg-BG"/>
        </w:rPr>
        <w:t>локуса</w:t>
      </w:r>
      <w:proofErr w:type="spellEnd"/>
      <w:r w:rsidRPr="0057700B">
        <w:rPr>
          <w:lang w:val="bg-BG"/>
        </w:rPr>
        <w:t xml:space="preserve"> на </w:t>
      </w:r>
      <w:r w:rsidRPr="0057700B">
        <w:t>CFTR</w:t>
      </w:r>
      <w:r w:rsidRPr="0057700B">
        <w:rPr>
          <w:lang w:val="bg-BG"/>
        </w:rPr>
        <w:t>, може да има клинично приложение. В едно информативно семейство две</w:t>
      </w:r>
      <w:r w:rsidRPr="0057700B">
        <w:rPr>
          <w:lang w:val="bg-BG"/>
        </w:rPr>
        <w:t xml:space="preserve">те родителски хромозоми, носещи </w:t>
      </w:r>
      <w:proofErr w:type="spellStart"/>
      <w:r w:rsidRPr="0057700B">
        <w:rPr>
          <w:lang w:val="bg-BG"/>
        </w:rPr>
        <w:t>мутантния</w:t>
      </w:r>
      <w:proofErr w:type="spellEnd"/>
      <w:r w:rsidRPr="0057700B">
        <w:rPr>
          <w:lang w:val="bg-BG"/>
        </w:rPr>
        <w:t xml:space="preserve"> </w:t>
      </w:r>
      <w:proofErr w:type="spellStart"/>
      <w:r w:rsidRPr="0057700B">
        <w:rPr>
          <w:lang w:val="bg-BG"/>
        </w:rPr>
        <w:t>алел</w:t>
      </w:r>
      <w:proofErr w:type="spellEnd"/>
      <w:r w:rsidRPr="0057700B">
        <w:rPr>
          <w:lang w:val="bg-BG"/>
        </w:rPr>
        <w:t xml:space="preserve"> могат да бъдат идентифицирани посредством анализ на ДНК характеристиките на хромозомите на болното дете. Генетичното състояние на плода при следваща бременност се определя от то</w:t>
      </w:r>
      <w:r w:rsidRPr="0057700B">
        <w:rPr>
          <w:lang w:val="bg-BG"/>
        </w:rPr>
        <w:t xml:space="preserve">ва колко са общите </w:t>
      </w:r>
      <w:proofErr w:type="spellStart"/>
      <w:r w:rsidRPr="0057700B">
        <w:rPr>
          <w:lang w:val="bg-BG"/>
        </w:rPr>
        <w:t>хаплотипи</w:t>
      </w:r>
      <w:proofErr w:type="spellEnd"/>
      <w:r w:rsidRPr="0057700B">
        <w:rPr>
          <w:lang w:val="bg-BG"/>
        </w:rPr>
        <w:t xml:space="preserve"> между него и  болния </w:t>
      </w:r>
      <w:proofErr w:type="spellStart"/>
      <w:r w:rsidRPr="0057700B">
        <w:rPr>
          <w:lang w:val="bg-BG"/>
        </w:rPr>
        <w:t>сибс</w:t>
      </w:r>
      <w:proofErr w:type="spellEnd"/>
      <w:r w:rsidRPr="0057700B">
        <w:rPr>
          <w:lang w:val="bg-BG"/>
        </w:rPr>
        <w:t xml:space="preserve">. </w:t>
      </w:r>
    </w:p>
    <w:sectPr w:rsidR="009D3F34" w:rsidRPr="00577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97DD7"/>
    <w:multiLevelType w:val="hybridMultilevel"/>
    <w:tmpl w:val="C98EE462"/>
    <w:lvl w:ilvl="0" w:tplc="FFECA6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F862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48BE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A516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FC4F2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08388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9C0C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25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269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67506"/>
    <w:multiLevelType w:val="hybridMultilevel"/>
    <w:tmpl w:val="8EBC2B14"/>
    <w:lvl w:ilvl="0" w:tplc="275EAE0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C2F4C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2A426">
      <w:start w:val="1025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540E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C4E5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D0E95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B41A9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0415A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66F1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7F0A40"/>
    <w:multiLevelType w:val="hybridMultilevel"/>
    <w:tmpl w:val="DDEC5F72"/>
    <w:lvl w:ilvl="0" w:tplc="1228CA4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803784">
      <w:start w:val="102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4C818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68831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EEC6C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FE9E8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093D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80696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EB5D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6775BE"/>
    <w:multiLevelType w:val="hybridMultilevel"/>
    <w:tmpl w:val="B17C5624"/>
    <w:lvl w:ilvl="0" w:tplc="29DC4E7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6F94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76220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A1AE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A25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38884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C4EA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818E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846D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A9A"/>
    <w:rsid w:val="003707B1"/>
    <w:rsid w:val="0057700B"/>
    <w:rsid w:val="008A772F"/>
    <w:rsid w:val="009748A7"/>
    <w:rsid w:val="009D3F34"/>
    <w:rsid w:val="00EB3922"/>
    <w:rsid w:val="00FA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8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8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25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1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31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6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827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5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1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223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21092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1007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507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4</cp:revision>
  <dcterms:created xsi:type="dcterms:W3CDTF">2012-01-24T07:53:00Z</dcterms:created>
  <dcterms:modified xsi:type="dcterms:W3CDTF">2012-01-24T08:16:00Z</dcterms:modified>
</cp:coreProperties>
</file>