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</w:t>
      </w:r>
      <w:r>
        <w:rPr>
          <w:lang w:bidi="hi-IN"/>
        </w:rPr>
        <w:lastRenderedPageBreak/>
        <w:t>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78"/>
        <w:gridCol w:w="2799"/>
        <w:gridCol w:w="2518"/>
        <w:gridCol w:w="1675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Возможность установить цели по гидратации (похудение, повышение </w:t>
            </w:r>
            <w:r w:rsidRPr="001F033D">
              <w:rPr>
                <w:sz w:val="24"/>
              </w:rPr>
              <w:lastRenderedPageBreak/>
              <w:t>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proofErr w:type="spellStart"/>
      <w:r w:rsidR="00512EA5">
        <w:rPr>
          <w:lang w:bidi="hi-IN"/>
        </w:rPr>
        <w:t>Water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Time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Adobe</w:t>
            </w:r>
            <w:proofErr w:type="spellEnd"/>
            <w:r w:rsidRPr="0086471F">
              <w:rPr>
                <w:sz w:val="24"/>
              </w:rPr>
              <w:t xml:space="preserve">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Windows</w:t>
            </w:r>
            <w:proofErr w:type="spellEnd"/>
            <w:r w:rsidRPr="0086471F">
              <w:rPr>
                <w:sz w:val="24"/>
              </w:rPr>
              <w:t xml:space="preserve">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proofErr w:type="spellStart"/>
      <w:r w:rsidRPr="00BF3BC2">
        <w:rPr>
          <w:lang w:bidi="hi-IN"/>
        </w:rPr>
        <w:t>Water</w:t>
      </w:r>
      <w:proofErr w:type="spellEnd"/>
      <w:r w:rsidRPr="00BF3BC2">
        <w:rPr>
          <w:lang w:bidi="hi-IN"/>
        </w:rPr>
        <w:t xml:space="preserve">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 xml:space="preserve">Приложение </w:t>
      </w:r>
      <w:r>
        <w:rPr>
          <w:lang w:bidi="hi-IN"/>
        </w:rPr>
        <w:t>включает несколько экранов, каждый из которых играет важную роль в обеспечении полноценного функционала.</w:t>
      </w:r>
    </w:p>
    <w:p w14:paraId="5802A3B5" w14:textId="50211303" w:rsidR="00342879" w:rsidRPr="00113271" w:rsidRDefault="00342879" w:rsidP="00342879">
      <w:pPr>
        <w:rPr>
          <w:lang w:bidi="hi-IN"/>
        </w:rPr>
      </w:pPr>
      <w:r>
        <w:rPr>
          <w:lang w:bidi="hi-IN"/>
        </w:rPr>
        <w:t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</w:t>
      </w:r>
      <w:r>
        <w:rPr>
          <w:lang w:bidi="hi-IN"/>
        </w:rPr>
        <w:t xml:space="preserve">, </w:t>
      </w:r>
      <w:r>
        <w:rPr>
          <w:lang w:bidi="hi-IN"/>
        </w:rPr>
        <w:t>ежедневную потребность в воде</w:t>
      </w:r>
      <w:r>
        <w:rPr>
          <w:lang w:bidi="hi-IN"/>
        </w:rPr>
        <w:t>, а также рекомендации по коррекции дегидратации</w:t>
      </w:r>
      <w:r>
        <w:rPr>
          <w:lang w:bidi="hi-IN"/>
        </w:rPr>
        <w:t xml:space="preserve">. </w:t>
      </w:r>
      <w:r w:rsidR="00113271">
        <w:rPr>
          <w:lang w:bidi="hi-IN"/>
        </w:rPr>
        <w:t xml:space="preserve">Первый экран представлен на рисунке </w:t>
      </w:r>
      <w:r w:rsidR="00113271" w:rsidRPr="00113271">
        <w:rPr>
          <w:rStyle w:val="affb"/>
          <w:highlight w:val="yellow"/>
        </w:rPr>
        <w:t>N</w:t>
      </w:r>
      <w:r w:rsidR="00113271">
        <w:rPr>
          <w:lang w:bidi="hi-IN"/>
        </w:rPr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6E78142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N</w:t>
      </w:r>
      <w:r>
        <w:rPr>
          <w:rStyle w:val="affb"/>
          <w:lang w:val="en-US"/>
        </w:rPr>
        <w:t xml:space="preserve"> – </w:t>
      </w:r>
      <w:r>
        <w:t>Экран приветствия</w:t>
      </w:r>
    </w:p>
    <w:p w14:paraId="47C193E5" w14:textId="405A4EBB" w:rsidR="00342879" w:rsidRDefault="00342879" w:rsidP="00342879">
      <w:pPr>
        <w:rPr>
          <w:lang w:bidi="hi-IN"/>
        </w:rPr>
      </w:pPr>
      <w:r>
        <w:rPr>
          <w:lang w:bidi="hi-IN"/>
        </w:rPr>
        <w:t xml:space="preserve">Далее следуют </w:t>
      </w:r>
      <w:r>
        <w:rPr>
          <w:lang w:bidi="hi-IN"/>
        </w:rPr>
        <w:t xml:space="preserve">четыре </w:t>
      </w:r>
      <w:r>
        <w:rPr>
          <w:lang w:bidi="hi-IN"/>
        </w:rPr>
        <w:t>экрана</w:t>
      </w:r>
      <w:r w:rsidR="00113271">
        <w:rPr>
          <w:lang w:bidi="hi-IN"/>
        </w:rPr>
        <w:t xml:space="preserve">, изображенные на рисунках </w:t>
      </w:r>
      <w:r w:rsidR="00113271" w:rsidRPr="00113271">
        <w:rPr>
          <w:rStyle w:val="affb"/>
          <w:highlight w:val="yellow"/>
        </w:rPr>
        <w:t>N-N</w:t>
      </w:r>
      <w:r>
        <w:rPr>
          <w:lang w:bidi="hi-IN"/>
        </w:rPr>
        <w:t>: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",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</w:t>
      </w:r>
      <w:r>
        <w:rPr>
          <w:lang w:bidi="hi-IN"/>
        </w:rPr>
        <w:t>,</w:t>
      </w:r>
      <w:r>
        <w:rPr>
          <w:lang w:bidi="hi-IN"/>
        </w:rPr>
        <w:t xml:space="preserve"> "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>",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</w:t>
      </w:r>
      <w:r>
        <w:rPr>
          <w:lang w:bidi="hi-IN"/>
        </w:rPr>
        <w:t xml:space="preserve">, </w:t>
      </w:r>
      <w:r>
        <w:rPr>
          <w:lang w:bidi="hi-IN"/>
        </w:rPr>
        <w:t>на которых пользователь вводит соответствующие данные, чтобы определить степень дегидратации, требуемое количество электролитов</w:t>
      </w:r>
      <w:r>
        <w:rPr>
          <w:lang w:bidi="hi-IN"/>
        </w:rPr>
        <w:t>,</w:t>
      </w:r>
      <w:r>
        <w:rPr>
          <w:lang w:bidi="hi-IN"/>
        </w:rPr>
        <w:t xml:space="preserve"> ежедневную потребность в воде</w:t>
      </w:r>
      <w:r>
        <w:rPr>
          <w:lang w:bidi="hi-IN"/>
        </w:rPr>
        <w:t xml:space="preserve"> и рекомендации по устранению дегидратации</w:t>
      </w:r>
      <w:r>
        <w:rPr>
          <w:lang w:bidi="hi-IN"/>
        </w:rPr>
        <w:t>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2B4114F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Н</w:t>
      </w:r>
      <w:r>
        <w:rPr>
          <w:lang w:bidi="hi-IN"/>
        </w:rPr>
        <w:t xml:space="preserve"> – Экран «</w:t>
      </w:r>
      <w:r>
        <w:rPr>
          <w:lang w:val="en-US" w:bidi="hi-IN"/>
        </w:rPr>
        <w:t>Dehydration</w:t>
      </w:r>
      <w:r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1DD1539C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</w:t>
      </w:r>
      <w:proofErr w:type="spellStart"/>
      <w:r w:rsidRPr="005667B8">
        <w:t>Electrolites</w:t>
      </w:r>
      <w:proofErr w:type="spellEnd"/>
      <w:r w:rsidRPr="005667B8"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18625044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</w:t>
      </w:r>
      <w:proofErr w:type="spellStart"/>
      <w:r w:rsidRPr="005667B8">
        <w:t>Water</w:t>
      </w:r>
      <w:proofErr w:type="spellEnd"/>
      <w:r w:rsidRPr="005667B8">
        <w:t>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1AA4E116" w:rsidR="005667B8" w:rsidRPr="005667B8" w:rsidRDefault="005667B8" w:rsidP="005667B8">
      <w:pPr>
        <w:pStyle w:val="affd"/>
        <w:rPr>
          <w:lang w:val="en-US" w:bidi="hi-IN"/>
        </w:rPr>
      </w:pPr>
      <w:r>
        <w:rPr>
          <w:lang w:bidi="hi-IN"/>
        </w:rPr>
        <w:t>Рисунок</w:t>
      </w:r>
      <w:r w:rsidRPr="005667B8">
        <w:rPr>
          <w:lang w:val="en-US" w:bidi="hi-IN"/>
        </w:rPr>
        <w:t xml:space="preserve"> </w:t>
      </w:r>
      <w:r w:rsidRPr="005667B8">
        <w:rPr>
          <w:rStyle w:val="affb"/>
          <w:highlight w:val="yellow"/>
        </w:rPr>
        <w:t>Н</w:t>
      </w:r>
      <w:r w:rsidRPr="005667B8">
        <w:rPr>
          <w:rStyle w:val="affb"/>
          <w:lang w:val="en-US"/>
        </w:rPr>
        <w:t xml:space="preserve"> – </w:t>
      </w:r>
      <w:r w:rsidRPr="005667B8">
        <w:t>Экран</w:t>
      </w:r>
      <w:r w:rsidRPr="005667B8">
        <w:rPr>
          <w:lang w:val="en-US"/>
        </w:rPr>
        <w:t xml:space="preserve"> «</w:t>
      </w:r>
      <w:proofErr w:type="spellStart"/>
      <w:r w:rsidRPr="005667B8">
        <w:t>Dehydration</w:t>
      </w:r>
      <w:proofErr w:type="spellEnd"/>
      <w:r w:rsidRPr="005667B8">
        <w:t xml:space="preserve"> </w:t>
      </w:r>
      <w:proofErr w:type="spellStart"/>
      <w:r w:rsidRPr="005667B8">
        <w:t>treatment</w:t>
      </w:r>
      <w:proofErr w:type="spellEnd"/>
      <w:r w:rsidRPr="005667B8">
        <w:rPr>
          <w:lang w:val="en-US"/>
        </w:rPr>
        <w:t>»</w:t>
      </w:r>
    </w:p>
    <w:p w14:paraId="3CB998F8" w14:textId="02F9D3D9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 xml:space="preserve"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8E4A448" w:rsidR="002270DE" w:rsidRDefault="002270DE" w:rsidP="002270DE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– Пример экрана вывода информации</w:t>
      </w:r>
    </w:p>
    <w:p w14:paraId="0781CB0E" w14:textId="079D685E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</w:t>
      </w:r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06C4A35E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 </w:t>
      </w:r>
      <w:r w:rsidR="00EE6D1C" w:rsidRPr="00EE6D1C">
        <w:rPr>
          <w:rStyle w:val="affb"/>
          <w:highlight w:val="yellow"/>
        </w:rPr>
        <w:t>Н</w:t>
      </w:r>
      <w:r w:rsidR="00EE6D1C">
        <w:rPr>
          <w:rStyle w:val="affb"/>
          <w:lang w:val="en-US"/>
        </w:rPr>
        <w:t>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2AA19317" w:rsidR="00EE6D1C" w:rsidRPr="00EE6D1C" w:rsidRDefault="00EE6D1C" w:rsidP="00EE6D1C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EE6D1C">
        <w:rPr>
          <w:rStyle w:val="affb"/>
          <w:highlight w:val="yellow"/>
        </w:rPr>
        <w:t>Н</w:t>
      </w:r>
      <w:r>
        <w:rPr>
          <w:rStyle w:val="affb"/>
        </w:rPr>
        <w:t xml:space="preserve"> </w:t>
      </w:r>
      <w:r w:rsidRPr="00EE6D1C"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</w:t>
      </w:r>
      <w:proofErr w:type="spellStart"/>
      <w:r>
        <w:rPr>
          <w:lang w:bidi="hi-IN"/>
        </w:rPr>
        <w:t>Model-View-ViewModel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</w:t>
      </w:r>
      <w:proofErr w:type="spellStart"/>
      <w:r>
        <w:rPr>
          <w:lang w:bidi="hi-IN"/>
        </w:rPr>
        <w:t>Model</w:t>
      </w:r>
      <w:proofErr w:type="spellEnd"/>
      <w:r>
        <w:rPr>
          <w:lang w:bidi="hi-IN"/>
        </w:rPr>
        <w:t>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</w:t>
      </w:r>
      <w:proofErr w:type="spellStart"/>
      <w:r>
        <w:rPr>
          <w:lang w:bidi="hi-IN"/>
        </w:rPr>
        <w:t>User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>Представление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 xml:space="preserve">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>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Pr="00614DD3">
        <w:rPr>
          <w:highlight w:val="yellow"/>
          <w:lang w:val="en-US" w:bidi="hi-IN"/>
        </w:rPr>
        <w:t>N</w:t>
      </w:r>
      <w:proofErr w:type="gramEnd"/>
      <w:r w:rsidRPr="00614DD3">
        <w:rPr>
          <w:lang w:bidi="hi-IN"/>
        </w:rPr>
        <w:t xml:space="preserve"> показывает структуру классов в проекте </w:t>
      </w:r>
      <w:proofErr w:type="spellStart"/>
      <w:r w:rsidRPr="00614DD3">
        <w:rPr>
          <w:lang w:bidi="hi-IN"/>
        </w:rPr>
        <w:t>Water</w:t>
      </w:r>
      <w:proofErr w:type="spellEnd"/>
      <w:r w:rsidRPr="00614DD3">
        <w:rPr>
          <w:lang w:bidi="hi-IN"/>
        </w:rPr>
        <w:t xml:space="preserve">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140AC4FF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75549D2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".</w:t>
      </w:r>
    </w:p>
    <w:p w14:paraId="51725339" w14:textId="5ED5E5B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Eyes</w:t>
      </w:r>
      <w:proofErr w:type="spellEnd"/>
      <w:r w:rsidR="001323AC">
        <w:rPr>
          <w:lang w:bidi="hi-IN"/>
        </w:rPr>
        <w:t>"</w:t>
      </w:r>
      <w:r>
        <w:rPr>
          <w:lang w:bidi="hi-IN"/>
        </w:rPr>
        <w:t xml:space="preserve">: </w:t>
      </w:r>
      <w:r w:rsidR="001323AC">
        <w:rPr>
          <w:lang w:bidi="hi-IN"/>
        </w:rPr>
        <w:t>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Light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".</w:t>
      </w:r>
    </w:p>
    <w:p w14:paraId="29EF8E9F" w14:textId="215C0982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".</w:t>
      </w:r>
    </w:p>
    <w:p w14:paraId="663F263A" w14:textId="184F69A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No</w:t>
      </w:r>
      <w:proofErr w:type="spellEnd"/>
      <w:r w:rsidR="001323AC">
        <w:rPr>
          <w:lang w:bidi="hi-IN"/>
        </w:rPr>
        <w:t>".</w:t>
      </w:r>
    </w:p>
    <w:p w14:paraId="254D0E20" w14:textId="02721F2D" w:rsidR="001323AC" w:rsidRDefault="001323AC" w:rsidP="00173008">
      <w:pPr>
        <w:rPr>
          <w:lang w:bidi="hi-IN"/>
        </w:rPr>
      </w:pPr>
      <w:r>
        <w:rPr>
          <w:lang w:bidi="hi-IN"/>
        </w:rPr>
        <w:lastRenderedPageBreak/>
        <w:t>Экран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488FC243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a </w:t>
      </w:r>
      <w:proofErr w:type="spellStart"/>
      <w:r w:rsidR="001323AC">
        <w:rPr>
          <w:lang w:bidi="hi-IN"/>
        </w:rPr>
        <w:t>chemical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element</w:t>
      </w:r>
      <w:proofErr w:type="spellEnd"/>
      <w:r w:rsidR="001323AC">
        <w:rPr>
          <w:lang w:bidi="hi-IN"/>
        </w:rPr>
        <w:t>": пользователь выбирает один из трех химических элементов: "</w:t>
      </w:r>
      <w:proofErr w:type="spellStart"/>
      <w:r w:rsidR="001323AC">
        <w:rPr>
          <w:lang w:bidi="hi-IN"/>
        </w:rPr>
        <w:t>Calcium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Potassium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Magnesium</w:t>
      </w:r>
      <w:proofErr w:type="spellEnd"/>
      <w:r w:rsidR="001323AC">
        <w:rPr>
          <w:lang w:bidi="hi-IN"/>
        </w:rPr>
        <w:t>".</w:t>
      </w:r>
    </w:p>
    <w:p w14:paraId="2BA82F40" w14:textId="4E1C6E37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75285786" w14:textId="2EE90F93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601CDBE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0C90E8BF" w14:textId="2E3EBDC7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": пользователь вводит свой вес в числовом формате.</w:t>
      </w:r>
    </w:p>
    <w:p w14:paraId="678C9901" w14:textId="4D51DA31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2C6A525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": пользователь выбирает одну из трех степеней дегидратации: I (5%), II (6-9%), III (10%).</w:t>
      </w:r>
    </w:p>
    <w:p w14:paraId="21BE942E" w14:textId="05E529A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274773B7" w14:textId="67F34DC5" w:rsidR="001323AC" w:rsidRDefault="001323AC" w:rsidP="001323AC">
      <w:pPr>
        <w:rPr>
          <w:lang w:bidi="hi-IN"/>
        </w:rPr>
      </w:pPr>
      <w:r>
        <w:rPr>
          <w:lang w:bidi="hi-IN"/>
        </w:rPr>
        <w:t>"</w:t>
      </w:r>
      <w:proofErr w:type="spellStart"/>
      <w:r>
        <w:rPr>
          <w:lang w:bidi="hi-IN"/>
        </w:rPr>
        <w:t>Input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your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weight</w:t>
      </w:r>
      <w:proofErr w:type="spellEnd"/>
      <w:r>
        <w:rPr>
          <w:lang w:bidi="hi-IN"/>
        </w:rPr>
        <w:t>":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>
        <w:rPr>
          <w:lang w:bidi="hi-IN"/>
        </w:rPr>
        <w:t>.</w:t>
      </w:r>
    </w:p>
    <w:p w14:paraId="5F33CD8D" w14:textId="78A2EF99" w:rsidR="001323AC" w:rsidRDefault="001323AC" w:rsidP="001323AC">
      <w:pPr>
        <w:rPr>
          <w:lang w:bidi="hi-IN"/>
        </w:rPr>
      </w:pPr>
      <w:r>
        <w:rPr>
          <w:lang w:bidi="hi-IN"/>
        </w:rPr>
        <w:t>Каждый экран предоставляет пользователю возможность ввести необходимые данные для расчета соответствующих показателей. После нажатия кнопки "</w:t>
      </w:r>
      <w:proofErr w:type="spellStart"/>
      <w:r>
        <w:rPr>
          <w:lang w:bidi="hi-IN"/>
        </w:rPr>
        <w:t>Calculate</w:t>
      </w:r>
      <w:proofErr w:type="spellEnd"/>
      <w:r>
        <w:rPr>
          <w:lang w:bidi="hi-IN"/>
        </w:rPr>
        <w:t>"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lastRenderedPageBreak/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proofErr w:type="spellStart"/>
      <w:r>
        <w:rPr>
          <w:lang w:bidi="hi-IN"/>
        </w:rPr>
        <w:t>разработика</w:t>
      </w:r>
      <w:proofErr w:type="spellEnd"/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1D0A04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59684D79" w:rsidR="00EE6D1C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1170EE0E" w14:textId="77777777" w:rsidR="00EE6D1C" w:rsidRDefault="00EE6D1C">
      <w:pPr>
        <w:spacing w:after="200" w:line="276" w:lineRule="auto"/>
        <w:ind w:firstLine="0"/>
        <w:jc w:val="left"/>
        <w:rPr>
          <w:szCs w:val="28"/>
          <w:lang w:bidi="hi-IN"/>
        </w:rPr>
      </w:pPr>
      <w:r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0DFB61A8" w:rsidR="005D6C7A" w:rsidRPr="005D6C7A" w:rsidRDefault="005D6C7A" w:rsidP="005D6C7A">
      <w:pPr>
        <w:spacing w:before="240"/>
        <w:ind w:firstLine="0"/>
        <w:jc w:val="center"/>
        <w:rPr>
          <w:lang w:bidi="hi-IN"/>
        </w:rPr>
      </w:pPr>
      <w:r w:rsidRPr="005D6C7A">
        <w:rPr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F6B95" w14:textId="77777777" w:rsidR="00E863D1" w:rsidRDefault="00E863D1" w:rsidP="009B337C">
      <w:pPr>
        <w:spacing w:line="240" w:lineRule="auto"/>
      </w:pPr>
      <w:r>
        <w:separator/>
      </w:r>
    </w:p>
  </w:endnote>
  <w:endnote w:type="continuationSeparator" w:id="0">
    <w:p w14:paraId="54E76420" w14:textId="77777777" w:rsidR="00E863D1" w:rsidRDefault="00E863D1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0334" w14:textId="77777777" w:rsidR="00E863D1" w:rsidRDefault="00E863D1" w:rsidP="009B337C">
      <w:pPr>
        <w:spacing w:line="240" w:lineRule="auto"/>
      </w:pPr>
      <w:r>
        <w:separator/>
      </w:r>
    </w:p>
  </w:footnote>
  <w:footnote w:type="continuationSeparator" w:id="0">
    <w:p w14:paraId="29683CB9" w14:textId="77777777" w:rsidR="00E863D1" w:rsidRDefault="00E863D1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C1144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Громов Никита Андреевич</cp:lastModifiedBy>
  <cp:revision>2</cp:revision>
  <dcterms:created xsi:type="dcterms:W3CDTF">2023-06-21T20:33:00Z</dcterms:created>
  <dcterms:modified xsi:type="dcterms:W3CDTF">2023-06-21T20:33:00Z</dcterms:modified>
</cp:coreProperties>
</file>