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4854F" w14:textId="2A7A1280" w:rsidR="00A7203B" w:rsidRPr="001D66F5" w:rsidRDefault="00A7203B" w:rsidP="001D66F5">
      <w:pPr>
        <w:spacing w:line="276" w:lineRule="auto"/>
        <w:jc w:val="both"/>
        <w:rPr>
          <w:rFonts w:ascii="Times New Roman" w:hAnsi="Times New Roman" w:cs="Times New Roman"/>
          <w:b/>
          <w:bCs/>
          <w:sz w:val="32"/>
          <w:szCs w:val="32"/>
          <w:lang w:val="en-US"/>
        </w:rPr>
      </w:pPr>
      <w:bookmarkStart w:id="0" w:name="_Hlk220010189"/>
      <w:r w:rsidRPr="001D66F5">
        <w:rPr>
          <w:rFonts w:ascii="Times New Roman" w:hAnsi="Times New Roman" w:cs="Times New Roman"/>
          <w:b/>
          <w:bCs/>
          <w:sz w:val="32"/>
          <w:szCs w:val="32"/>
          <w:lang w:val="en-US"/>
        </w:rPr>
        <w:t>SUPPLEMENTARY NOTE 2</w:t>
      </w:r>
      <w:bookmarkEnd w:id="0"/>
      <w:r w:rsidRPr="001D66F5">
        <w:rPr>
          <w:rFonts w:ascii="Times New Roman" w:hAnsi="Times New Roman" w:cs="Times New Roman"/>
          <w:b/>
          <w:bCs/>
          <w:sz w:val="32"/>
          <w:szCs w:val="32"/>
          <w:lang w:val="en-US"/>
        </w:rPr>
        <w:t xml:space="preserve">. </w:t>
      </w:r>
      <w:r w:rsidR="001D66F5" w:rsidRPr="001D66F5">
        <w:rPr>
          <w:rFonts w:ascii="Times New Roman" w:hAnsi="Times New Roman" w:cs="Times New Roman"/>
          <w:b/>
          <w:bCs/>
          <w:sz w:val="32"/>
          <w:szCs w:val="32"/>
          <w:lang w:val="en-US"/>
        </w:rPr>
        <w:t>Extended Causal Case Studies For Unimodal Classes A–D</w:t>
      </w:r>
    </w:p>
    <w:p w14:paraId="26304046" w14:textId="77777777" w:rsidR="001D66F5" w:rsidRPr="001D66F5" w:rsidRDefault="001D66F5" w:rsidP="001D66F5">
      <w:pPr>
        <w:spacing w:line="360" w:lineRule="auto"/>
        <w:ind w:firstLine="567"/>
        <w:jc w:val="both"/>
        <w:rPr>
          <w:rFonts w:ascii="Times New Roman" w:hAnsi="Times New Roman" w:cs="Times New Roman"/>
          <w:lang w:val="en-US"/>
        </w:rPr>
      </w:pPr>
    </w:p>
    <w:p w14:paraId="1B7BC14C" w14:textId="4FCE684C" w:rsidR="001D66F5" w:rsidRDefault="001D66F5" w:rsidP="001D66F5">
      <w:pPr>
        <w:spacing w:line="360" w:lineRule="auto"/>
        <w:ind w:firstLine="567"/>
        <w:jc w:val="both"/>
        <w:rPr>
          <w:rFonts w:ascii="Times New Roman" w:hAnsi="Times New Roman" w:cs="Times New Roman"/>
        </w:rPr>
      </w:pPr>
      <w:r w:rsidRPr="001D66F5">
        <w:rPr>
          <w:rFonts w:ascii="Times New Roman" w:hAnsi="Times New Roman" w:cs="Times New Roman"/>
          <w:lang w:val="en-US"/>
        </w:rPr>
        <w:t>In the main text, the different types of unimodal curves are introduced in a necessarily concise manner, reflecting both space constraints and the focus on the conceptual classification itself. The examples presented below therefore serve a complementary role. Rather than extending the framework or introducing additional categories, they provide a more detailed illustration of how the proposed causal classes operate in concrete biological settings. This extended discussion is intended to help the reader navigate the logic of the classification, recognise recurring causal architectures across disparate biological systems, and see how similar unimodal forms can arise from shared principles despite substantial differences in biological scale and function. By moving systematically from molecular and cellular systems to organismal and population-level examples, the exposition highlights both the scale-independent conceptual structure and the level-specific mechanisms through which each class is realised. In doing so, it clarifies that the assignment of a unimodal curve to a given class depends not on the level of organisation at which it is observed, but on the architecture of the processes that generate it.</w:t>
      </w:r>
    </w:p>
    <w:p w14:paraId="31222F52" w14:textId="77777777" w:rsidR="001D66F5" w:rsidRPr="001D66F5" w:rsidRDefault="001D66F5" w:rsidP="001D66F5">
      <w:pPr>
        <w:spacing w:line="360" w:lineRule="auto"/>
        <w:ind w:firstLine="567"/>
        <w:jc w:val="both"/>
        <w:rPr>
          <w:rFonts w:ascii="Times New Roman" w:hAnsi="Times New Roman" w:cs="Times New Roman"/>
        </w:rPr>
      </w:pPr>
    </w:p>
    <w:p w14:paraId="17BCE046" w14:textId="0DE7177C" w:rsidR="00AE182B" w:rsidRPr="00654FE6" w:rsidRDefault="00AE182B" w:rsidP="00AE182B">
      <w:pPr>
        <w:rPr>
          <w:rFonts w:ascii="Times New Roman" w:hAnsi="Times New Roman" w:cs="Times New Roman"/>
          <w:b/>
          <w:bCs/>
          <w:lang w:val="en-US"/>
        </w:rPr>
      </w:pPr>
      <w:r w:rsidRPr="00654FE6">
        <w:rPr>
          <w:rFonts w:ascii="Times New Roman" w:hAnsi="Times New Roman" w:cs="Times New Roman"/>
          <w:b/>
          <w:bCs/>
          <w:lang w:val="en-US"/>
        </w:rPr>
        <w:t>Class A: stationary distributions of states</w:t>
      </w:r>
    </w:p>
    <w:p w14:paraId="738300C5" w14:textId="77777777" w:rsidR="005554D8" w:rsidRPr="005554D8" w:rsidRDefault="005554D8" w:rsidP="005554D8">
      <w:pPr>
        <w:spacing w:line="360" w:lineRule="auto"/>
        <w:ind w:firstLine="567"/>
        <w:jc w:val="both"/>
        <w:rPr>
          <w:rFonts w:ascii="Times New Roman" w:hAnsi="Times New Roman" w:cs="Times New Roman"/>
          <w:lang w:val="en-US"/>
        </w:rPr>
      </w:pPr>
      <w:r w:rsidRPr="005554D8">
        <w:rPr>
          <w:rFonts w:ascii="Times New Roman" w:hAnsi="Times New Roman" w:cs="Times New Roman"/>
          <w:lang w:val="en-US"/>
        </w:rPr>
        <w:t>In Class A unimodal curves, the hump-shaped profile does not reflect temporal progression or active regulation. Rather, it represents a stationary distribution of states across an ensemble of units under approximately fixed conditions (McGill et al., 2007). The x-axis specifies trait values for individual elements of the system, while the y-axis gives the frequency or probability with which these values occur. The maximum therefore corresponds to the most commonly realized state, not to a target, optimum, or preferred level (Kerr &amp; Dickie, 2001).</w:t>
      </w:r>
    </w:p>
    <w:p w14:paraId="03C172F7" w14:textId="77777777" w:rsidR="005554D8" w:rsidRPr="005554D8" w:rsidRDefault="005554D8" w:rsidP="005554D8">
      <w:pPr>
        <w:spacing w:line="360" w:lineRule="auto"/>
        <w:ind w:firstLine="567"/>
        <w:jc w:val="both"/>
        <w:rPr>
          <w:rFonts w:ascii="Times New Roman" w:hAnsi="Times New Roman" w:cs="Times New Roman"/>
          <w:lang w:val="en-US"/>
        </w:rPr>
      </w:pPr>
      <w:r w:rsidRPr="005554D8">
        <w:rPr>
          <w:rFonts w:ascii="Times New Roman" w:hAnsi="Times New Roman" w:cs="Times New Roman"/>
          <w:lang w:val="en-US"/>
        </w:rPr>
        <w:t>Normal and lognormal shapes emerge when a trait is shaped by many small, approximately independent contributions that combine additively or multiplicatively within biologically admissible bounds (McGill et al., 2007). No single contribution dominates curve shape. Most realizations cluster around typical values, while extreme states are rare and populate the distribution tails. This statistical logic is scale-independent: from molecular systems to populations, the curve consistently describes variation within an ensemble rather than dynamics through time or homeostatic stabilization.</w:t>
      </w:r>
    </w:p>
    <w:p w14:paraId="2F6428B3" w14:textId="77777777" w:rsidR="005554D8" w:rsidRPr="005554D8" w:rsidRDefault="005554D8" w:rsidP="005554D8">
      <w:pPr>
        <w:spacing w:line="360" w:lineRule="auto"/>
        <w:ind w:firstLine="567"/>
        <w:jc w:val="both"/>
        <w:rPr>
          <w:rFonts w:ascii="Times New Roman" w:hAnsi="Times New Roman" w:cs="Times New Roman"/>
          <w:lang w:val="en-US"/>
        </w:rPr>
      </w:pPr>
      <w:r w:rsidRPr="005554D8">
        <w:rPr>
          <w:rFonts w:ascii="Times New Roman" w:hAnsi="Times New Roman" w:cs="Times New Roman"/>
          <w:lang w:val="en-US"/>
        </w:rPr>
        <w:t>At the molecular level, this logic is illustrated by distributions of protein conformational states in equilibrium ensembles under physiological conditions. The x-axis spans a continuum from compact to disordered conformations, and the y-axis represents the fraction of molecules occupying each microstate. Most molecules reside in intermediate conformational basins, producing an approximately unimodal peak, while highly rigid and excessively disordered structures form the tails (Yang et al., 2023). Only a subset of conformations is competent for ligand binding, but this functional subset does not shape the overall distribution, which reflects ensemble statistics rather than optimization or directed trajectories.</w:t>
      </w:r>
    </w:p>
    <w:p w14:paraId="307A32FF" w14:textId="77777777" w:rsidR="005554D8" w:rsidRPr="005554D8" w:rsidRDefault="005554D8" w:rsidP="005554D8">
      <w:pPr>
        <w:spacing w:line="360" w:lineRule="auto"/>
        <w:ind w:firstLine="567"/>
        <w:jc w:val="both"/>
        <w:rPr>
          <w:rFonts w:ascii="Times New Roman" w:hAnsi="Times New Roman" w:cs="Times New Roman"/>
          <w:lang w:val="en-US"/>
        </w:rPr>
      </w:pPr>
      <w:r w:rsidRPr="005554D8">
        <w:rPr>
          <w:rFonts w:ascii="Times New Roman" w:hAnsi="Times New Roman" w:cs="Times New Roman"/>
          <w:lang w:val="en-US"/>
        </w:rPr>
        <w:t>Similar unimodality appears in size distributions of mitochondria in fish muscle cells. Here, the units are individual organelles and the trait is volume or length. Most mitochondria fall within an intermediate size range, while very small and very large forms are progressively rarer, yielding an often lognormal distribution. This pattern reflects the combined action of concurrent micro-processes—including fission, fusion, growth, and degradation—operating under fixed conditions rather than regulation toward a specific “optimal” size (Zamponi et al., 2018).</w:t>
      </w:r>
    </w:p>
    <w:p w14:paraId="5B031D8D" w14:textId="77777777" w:rsidR="005554D8" w:rsidRPr="005554D8" w:rsidRDefault="005554D8" w:rsidP="005554D8">
      <w:pPr>
        <w:spacing w:line="360" w:lineRule="auto"/>
        <w:ind w:firstLine="567"/>
        <w:jc w:val="both"/>
        <w:rPr>
          <w:rFonts w:ascii="Times New Roman" w:hAnsi="Times New Roman" w:cs="Times New Roman"/>
          <w:lang w:val="en-US"/>
        </w:rPr>
      </w:pPr>
      <w:r w:rsidRPr="005554D8">
        <w:rPr>
          <w:rFonts w:ascii="Times New Roman" w:hAnsi="Times New Roman" w:cs="Times New Roman"/>
          <w:lang w:val="en-US"/>
        </w:rPr>
        <w:t xml:space="preserve">At the cellular level, Class A is evident in approximately normal distributions of erythrocyte diameters. Individual cell size is shaped by many small additive influences, including variation in </w:t>
      </w:r>
      <w:r w:rsidRPr="005554D8">
        <w:rPr>
          <w:rFonts w:ascii="Times New Roman" w:hAnsi="Times New Roman" w:cs="Times New Roman"/>
          <w:lang w:val="en-US"/>
        </w:rPr>
        <w:lastRenderedPageBreak/>
        <w:t>precursor growth, resource availability, stochasticity in division, and developmental noise. By the central limit theorem, aggregation of these contributions yields a unimodal distribution in which most cells cluster around a mean diameter, while extreme sizes are rare (McKenzie &amp; Williams, 2015).</w:t>
      </w:r>
    </w:p>
    <w:p w14:paraId="21919DEA" w14:textId="77777777" w:rsidR="005554D8" w:rsidRPr="005554D8" w:rsidRDefault="005554D8" w:rsidP="005554D8">
      <w:pPr>
        <w:spacing w:line="360" w:lineRule="auto"/>
        <w:ind w:firstLine="567"/>
        <w:jc w:val="both"/>
        <w:rPr>
          <w:rFonts w:ascii="Times New Roman" w:hAnsi="Times New Roman" w:cs="Times New Roman"/>
          <w:lang w:val="en-US"/>
        </w:rPr>
      </w:pPr>
      <w:r w:rsidRPr="005554D8">
        <w:rPr>
          <w:rFonts w:ascii="Times New Roman" w:hAnsi="Times New Roman" w:cs="Times New Roman"/>
          <w:lang w:val="en-US"/>
        </w:rPr>
        <w:t>When traits are shaped by multiplicative rather than additive processes, the same logic applies. In exponentially growing cultures of bacteria, microalgae, or fish cells, individual cell volumes accumulate through successive mitotic cycles that multiply size by stochastic factors close to constant. Repeated multiplication produces approximately normal distributions of log-transformed size and right-skewed, near-lognormal distributions on the original scale (Limpert et al., 2001). Most cells attain moderate sizes, while a smaller fraction forms an extended right tail.</w:t>
      </w:r>
    </w:p>
    <w:p w14:paraId="6A63DEDD" w14:textId="77777777" w:rsidR="005554D8" w:rsidRPr="005554D8" w:rsidRDefault="005554D8" w:rsidP="005554D8">
      <w:pPr>
        <w:spacing w:line="360" w:lineRule="auto"/>
        <w:ind w:firstLine="567"/>
        <w:jc w:val="both"/>
        <w:rPr>
          <w:rFonts w:ascii="Times New Roman" w:hAnsi="Times New Roman" w:cs="Times New Roman"/>
          <w:lang w:val="en-US"/>
        </w:rPr>
      </w:pPr>
      <w:r w:rsidRPr="005554D8">
        <w:rPr>
          <w:rFonts w:ascii="Times New Roman" w:hAnsi="Times New Roman" w:cs="Times New Roman"/>
          <w:lang w:val="en-US"/>
        </w:rPr>
        <w:t>At the organismal level, individual fish body mass follows similar multiplicative dynamics. Growth increments depend on temperature, food availability, density, and physiological state, and adult mass emerges as the product of many stochastic growth factors. Across populations, this generates right-skewed, approximately lognormal mass distributions, in which the maximum reflects the most probable cumulative growth histories rather than a regulated target size (Kerr &amp; Dickie, 2001).</w:t>
      </w:r>
    </w:p>
    <w:p w14:paraId="1469C1B8" w14:textId="77777777" w:rsidR="005554D8" w:rsidRPr="005554D8" w:rsidRDefault="005554D8" w:rsidP="005554D8">
      <w:pPr>
        <w:spacing w:line="360" w:lineRule="auto"/>
        <w:ind w:firstLine="567"/>
        <w:jc w:val="both"/>
        <w:rPr>
          <w:rFonts w:ascii="Times New Roman" w:hAnsi="Times New Roman" w:cs="Times New Roman"/>
          <w:lang w:val="en-US"/>
        </w:rPr>
      </w:pPr>
      <w:r w:rsidRPr="005554D8">
        <w:rPr>
          <w:rFonts w:ascii="Times New Roman" w:hAnsi="Times New Roman" w:cs="Times New Roman"/>
          <w:lang w:val="en-US"/>
        </w:rPr>
        <w:t>Beyond size-related traits, Class A unimodality also characterizes qualitative morphological and physiological attributes, such as red muscle pigmentation in fish. Individual pigmentation levels reflect combinations of genetic background, workload, and microenvironmental influences. The central peak represents the most frequently realized combinations of these factors, while paler or darker muscles are less common and populate the tails (Omidvar et al., 2024).</w:t>
      </w:r>
    </w:p>
    <w:p w14:paraId="383965DE" w14:textId="77777777" w:rsidR="005554D8" w:rsidRPr="005554D8" w:rsidRDefault="005554D8" w:rsidP="005554D8">
      <w:pPr>
        <w:spacing w:line="360" w:lineRule="auto"/>
        <w:ind w:firstLine="567"/>
        <w:jc w:val="both"/>
        <w:rPr>
          <w:rFonts w:ascii="Times New Roman" w:hAnsi="Times New Roman" w:cs="Times New Roman"/>
          <w:lang w:val="en-US"/>
        </w:rPr>
      </w:pPr>
      <w:r w:rsidRPr="005554D8">
        <w:rPr>
          <w:rFonts w:ascii="Times New Roman" w:hAnsi="Times New Roman" w:cs="Times New Roman"/>
          <w:lang w:val="en-US"/>
        </w:rPr>
        <w:t>At the population–spatial level, unimodality appears in distributions of local fish density or biomass across equal-sized spatial cells. Realized density reflects the superposition of many stochastic influences, including habitat heterogeneity, hydrodynamics, food availability, predation, movement, and recent colonization history. The ensemble of cells therefore exhibits unimodal distributions of density values: approximately normal under additive fluctuations and closer to lognormal under multiplicative occupancy processes (Oberdorff et al., 1999; Limpert et al., 2001). In both cases, the maximum corresponds to the most typical spatial states rather than a density actively maintained by regulation.</w:t>
      </w:r>
    </w:p>
    <w:p w14:paraId="78687037" w14:textId="03608A46" w:rsidR="00D1364E" w:rsidRPr="0075057A" w:rsidRDefault="005554D8" w:rsidP="005554D8">
      <w:pPr>
        <w:spacing w:line="360" w:lineRule="auto"/>
        <w:ind w:firstLine="567"/>
        <w:jc w:val="both"/>
        <w:rPr>
          <w:rFonts w:ascii="Arial" w:hAnsi="Arial" w:cs="Arial"/>
          <w:lang w:val="en-US"/>
        </w:rPr>
      </w:pPr>
      <w:r w:rsidRPr="005554D8">
        <w:rPr>
          <w:rFonts w:ascii="Times New Roman" w:hAnsi="Times New Roman" w:cs="Times New Roman"/>
          <w:lang w:val="en-US"/>
        </w:rPr>
        <w:t xml:space="preserve">Across levels of biological organization—from molecules to populations—a common statistical logic defines Class A unimodality. Hump-shaped distributions arise as stationary patterns of variation within ensembles, generated by the sum or product of many small influences (Kerr &amp; Dickie, 2001). While biological carriers and constraints differ across systems, the central peak </w:t>
      </w:r>
      <w:r w:rsidRPr="005554D8">
        <w:rPr>
          <w:rFonts w:ascii="Times New Roman" w:hAnsi="Times New Roman" w:cs="Times New Roman"/>
          <w:lang w:val="en-US"/>
        </w:rPr>
        <w:lastRenderedPageBreak/>
        <w:t>consistently represents the most probable state rather than a trajectory phase, homeostatic set point, or balance between competing processes. This property distinguishes Class A unimodal curves from the other types in the proposed framework</w:t>
      </w:r>
      <w:r w:rsidR="00D1364E" w:rsidRPr="00654FE6">
        <w:rPr>
          <w:lang w:val="en-US"/>
        </w:rPr>
        <w:t>.</w:t>
      </w:r>
      <w:r w:rsidR="00D1364E" w:rsidRPr="00654FE6">
        <w:rPr>
          <w:rFonts w:ascii="Arial" w:hAnsi="Arial" w:cs="Arial"/>
          <w:lang w:val="en-US"/>
        </w:rPr>
        <w:t>​</w:t>
      </w:r>
    </w:p>
    <w:p w14:paraId="3B9097FC" w14:textId="77777777" w:rsidR="00654FE6" w:rsidRPr="0075057A" w:rsidRDefault="00654FE6" w:rsidP="005554D8">
      <w:pPr>
        <w:spacing w:line="360" w:lineRule="auto"/>
        <w:ind w:firstLine="567"/>
        <w:jc w:val="both"/>
        <w:rPr>
          <w:rFonts w:ascii="Times New Roman" w:hAnsi="Times New Roman" w:cs="Times New Roman"/>
          <w:lang w:val="en-US"/>
        </w:rPr>
      </w:pPr>
    </w:p>
    <w:p w14:paraId="78DDA9FF" w14:textId="77777777" w:rsidR="00FC7625" w:rsidRPr="00654FE6" w:rsidRDefault="00FC7625" w:rsidP="00FC7625">
      <w:pPr>
        <w:rPr>
          <w:rFonts w:ascii="Times New Roman" w:hAnsi="Times New Roman" w:cs="Times New Roman"/>
          <w:b/>
          <w:bCs/>
          <w:lang w:val="en-US"/>
        </w:rPr>
      </w:pPr>
      <w:r w:rsidRPr="00654FE6">
        <w:rPr>
          <w:rFonts w:ascii="Times New Roman" w:hAnsi="Times New Roman" w:cs="Times New Roman"/>
          <w:b/>
          <w:bCs/>
          <w:lang w:val="en-US"/>
        </w:rPr>
        <w:t>Class B: irreversible process trajectories</w:t>
      </w:r>
    </w:p>
    <w:p w14:paraId="669A03E6" w14:textId="77777777" w:rsidR="00DF0783" w:rsidRPr="00DF0783" w:rsidRDefault="00DF0783" w:rsidP="00DF0783">
      <w:pPr>
        <w:spacing w:line="360" w:lineRule="auto"/>
        <w:ind w:firstLine="567"/>
        <w:jc w:val="both"/>
        <w:rPr>
          <w:rFonts w:ascii="Times New Roman" w:hAnsi="Times New Roman" w:cs="Times New Roman"/>
          <w:lang w:val="en-US"/>
        </w:rPr>
      </w:pPr>
      <w:r w:rsidRPr="00DF0783">
        <w:rPr>
          <w:rFonts w:ascii="Times New Roman" w:hAnsi="Times New Roman" w:cs="Times New Roman"/>
          <w:lang w:val="en-US"/>
        </w:rPr>
        <w:t>Unimodal curves of Class B describe the progression of a system along an ordered, effectively one-directional gradient, along which movement is possible only “forward,” with no return to the same states unless the process is restarted (West et al., 2001). The x-axis represents a measure of progress—time, age, developmental stage, cumulative dose, or another integrative index—and each point corresponds to a successive phase of a single process, unambiguously ordered as earlier versus later. The hump-shaped profile arises from a shift in dominant processes: reinforcing processes such as growth, accumulation, or activation initially dominate; emerging constraints then counterbalance them; finally, weakening processes—senescence, depletion, or structural decay—prevail, producing the descending limb (West et al., 2001; Rose et al., 2001). The maximum therefore marks a transient coincidence of dominant processes, not a stable state or a balance maintained under fixed conditions. Crucially, Class B curves trace the trajectory of the same system through time, whereas cross-sectional snapshots of different units yield Class A distributions of states.</w:t>
      </w:r>
    </w:p>
    <w:p w14:paraId="3D94707D" w14:textId="77777777" w:rsidR="00DF0783" w:rsidRPr="00DF0783" w:rsidRDefault="00DF0783" w:rsidP="00DF0783">
      <w:pPr>
        <w:spacing w:line="360" w:lineRule="auto"/>
        <w:ind w:firstLine="567"/>
        <w:jc w:val="both"/>
        <w:rPr>
          <w:rFonts w:ascii="Times New Roman" w:hAnsi="Times New Roman" w:cs="Times New Roman"/>
          <w:lang w:val="en-US"/>
        </w:rPr>
      </w:pPr>
      <w:r w:rsidRPr="00DF0783">
        <w:rPr>
          <w:rFonts w:ascii="Times New Roman" w:hAnsi="Times New Roman" w:cs="Times New Roman"/>
          <w:lang w:val="en-US"/>
        </w:rPr>
        <w:t>At the cellular level, this logic is evident in cyclin-dependent gene expression and kinase activity across the cell cycle. As cells progress through successive phases, mitogenic activation and cyclin–Cdk activity rise to a maximum enabling phase transition, then decline as degradation, repression, and inhibitory regulation take over. At the population level, this appears as a single burst of activity rather than a maintained plateau. Return to the peak is possible only upon initiation of a new cycle, not through local adjustment within the same state (Morgan, 2007). A similar unimodal time course characterizes DNA synthesis rates following mitogenic stimulation, which increase during entry into S phase and decline once replication is completed.</w:t>
      </w:r>
    </w:p>
    <w:p w14:paraId="02AC2E66" w14:textId="77777777" w:rsidR="00DF0783" w:rsidRPr="00DF0783" w:rsidRDefault="00DF0783" w:rsidP="00DF0783">
      <w:pPr>
        <w:spacing w:line="360" w:lineRule="auto"/>
        <w:ind w:firstLine="567"/>
        <w:jc w:val="both"/>
        <w:rPr>
          <w:rFonts w:ascii="Times New Roman" w:hAnsi="Times New Roman" w:cs="Times New Roman"/>
          <w:lang w:val="en-US"/>
        </w:rPr>
      </w:pPr>
      <w:r w:rsidRPr="00DF0783">
        <w:rPr>
          <w:rFonts w:ascii="Times New Roman" w:hAnsi="Times New Roman" w:cs="Times New Roman"/>
          <w:lang w:val="en-US"/>
        </w:rPr>
        <w:t>Fast motor events at the organismal level follow the same single-pass logic. A twitch contraction of a fish muscle fibre exhibits a unimodal force–time profile: force rises after Ca²⁺ release activates cross-bridges, peaks briefly before tailing off as Ca²⁺ is resequestered and cross-bridges detach (Prosser, 1991). Suction feeding shows an analogous pattern, with mouth expansion and inflow intensifying to a peak before decelerating as the feeding cycle concludes (Lauder, 1980).</w:t>
      </w:r>
    </w:p>
    <w:p w14:paraId="227CC15E" w14:textId="77777777" w:rsidR="00DF0783" w:rsidRPr="00DF0783" w:rsidRDefault="00DF0783" w:rsidP="00DF0783">
      <w:pPr>
        <w:spacing w:line="360" w:lineRule="auto"/>
        <w:ind w:firstLine="567"/>
        <w:jc w:val="both"/>
        <w:rPr>
          <w:rFonts w:ascii="Times New Roman" w:hAnsi="Times New Roman" w:cs="Times New Roman"/>
          <w:lang w:val="en-US"/>
        </w:rPr>
      </w:pPr>
      <w:r w:rsidRPr="00DF0783">
        <w:rPr>
          <w:rFonts w:ascii="Times New Roman" w:hAnsi="Times New Roman" w:cs="Times New Roman"/>
          <w:lang w:val="en-US"/>
        </w:rPr>
        <w:t>Over longer timescales, trajectory-based unimodality appears in ontogenetic profiles of growth and reproduction. Absolute growth rates increase during early life, reach a maximum when acquisition and expenditure are most favourably aligned, and then decline as energy is increasingly allocated to maintenance, reproduction, and repair (West et al., 2001; Rose et al., 2001). The growth maximum is therefore a life-history phase rather than a regulated state. In contrast, relative growth rate declines steadily from the outset and exhibits no peak of its own, reinforcing the trajectory-based nature of the absolute growth maximum. Age-specific fertility profiles follow a similar one-directional passage through a peak of reproductive output, declining thereafter with senescence (Stearns, 1992).</w:t>
      </w:r>
    </w:p>
    <w:p w14:paraId="2713037A" w14:textId="77777777" w:rsidR="00DF0783" w:rsidRPr="00DF0783" w:rsidRDefault="00DF0783" w:rsidP="00DF0783">
      <w:pPr>
        <w:spacing w:line="360" w:lineRule="auto"/>
        <w:ind w:firstLine="567"/>
        <w:jc w:val="both"/>
        <w:rPr>
          <w:rFonts w:ascii="Times New Roman" w:hAnsi="Times New Roman" w:cs="Times New Roman"/>
          <w:lang w:val="en-US"/>
        </w:rPr>
      </w:pPr>
      <w:r w:rsidRPr="00DF0783">
        <w:rPr>
          <w:rFonts w:ascii="Times New Roman" w:hAnsi="Times New Roman" w:cs="Times New Roman"/>
          <w:lang w:val="en-US"/>
        </w:rPr>
        <w:t>Seasonal dynamics at the population level exhibit the same unimodal structure when tracking the same functional states through time. Seasonal curves of reproductive activity reflect spring activation of endocrine pathways, rise to a peak during spawning, and decline after gamete release is completed and gonads regress (Wootton, 1998). Seasonal dynamics of lipid unsaturation trace a clear unimodal path: accumulation from summer toward a winter peak, followed by depletion toward summer lows, again with a single passage through the maximum and no local mechanism of maintenance (Henderson &amp; Tocher, 1987).</w:t>
      </w:r>
    </w:p>
    <w:p w14:paraId="04D54C6A" w14:textId="3A12B360" w:rsidR="002A2779" w:rsidRPr="0075057A" w:rsidRDefault="00DF0783" w:rsidP="005A2D51">
      <w:pPr>
        <w:spacing w:line="360" w:lineRule="auto"/>
        <w:ind w:firstLine="567"/>
        <w:jc w:val="both"/>
        <w:rPr>
          <w:rFonts w:ascii="Times New Roman" w:hAnsi="Times New Roman" w:cs="Times New Roman"/>
          <w:lang w:val="en-US"/>
        </w:rPr>
      </w:pPr>
      <w:r w:rsidRPr="00DF0783">
        <w:rPr>
          <w:rFonts w:ascii="Times New Roman" w:hAnsi="Times New Roman" w:cs="Times New Roman"/>
          <w:lang w:val="en-US"/>
        </w:rPr>
        <w:t>At population-management and ecosystem scales, Class B unimodality emerges in long-term temporal responses to interventions or invasions. Following increases in fishing mesh size, catch and biomass typically rise as cohorts survive to larger sizes, peak when multiple large cohorts coincide, and then decline as selective removals and altered age structure take effect (Hilborn &amp; Walters, 2013). Invasive species show analogous trajectories: early rapid growth is followed by a peak as resources are depleted and regulatory pressures strengthen, after which abundance declines or oscillates around a new level (Sakai et al., 2001). In all cases, the maximum marks a turning point in a single trajectory rather than a state to which the system actively return</w:t>
      </w:r>
    </w:p>
    <w:p w14:paraId="2D7AC8DF" w14:textId="77777777" w:rsidR="002A2779" w:rsidRPr="00654FE6" w:rsidRDefault="002A2779" w:rsidP="000A6D9B">
      <w:pPr>
        <w:spacing w:line="360" w:lineRule="auto"/>
        <w:ind w:firstLine="567"/>
        <w:jc w:val="both"/>
        <w:rPr>
          <w:rFonts w:ascii="Times New Roman" w:hAnsi="Times New Roman" w:cs="Times New Roman"/>
          <w:lang w:val="en-US"/>
        </w:rPr>
      </w:pPr>
    </w:p>
    <w:p w14:paraId="13247AB9" w14:textId="77777777" w:rsidR="00FC7625" w:rsidRPr="00654FE6" w:rsidRDefault="00FC7625" w:rsidP="00FC7625">
      <w:pPr>
        <w:rPr>
          <w:rFonts w:ascii="Times New Roman" w:hAnsi="Times New Roman" w:cs="Times New Roman"/>
          <w:b/>
          <w:bCs/>
          <w:lang w:val="en-US"/>
        </w:rPr>
      </w:pPr>
      <w:r w:rsidRPr="00654FE6">
        <w:rPr>
          <w:rFonts w:ascii="Times New Roman" w:hAnsi="Times New Roman" w:cs="Times New Roman"/>
          <w:b/>
          <w:bCs/>
          <w:lang w:val="en-US"/>
        </w:rPr>
        <w:t>Class C: homeostatic stabilization of parameters</w:t>
      </w:r>
    </w:p>
    <w:p w14:paraId="729E2681" w14:textId="77777777" w:rsidR="005A2D51" w:rsidRPr="005A2D51" w:rsidRDefault="005A2D51" w:rsidP="005A2D51">
      <w:pPr>
        <w:spacing w:line="360" w:lineRule="auto"/>
        <w:ind w:firstLine="567"/>
        <w:jc w:val="both"/>
        <w:rPr>
          <w:rFonts w:ascii="Times New Roman" w:hAnsi="Times New Roman" w:cs="Times New Roman"/>
          <w:lang w:val="en-US"/>
        </w:rPr>
      </w:pPr>
      <w:r w:rsidRPr="005A2D51">
        <w:rPr>
          <w:rFonts w:ascii="Times New Roman" w:hAnsi="Times New Roman" w:cs="Times New Roman"/>
          <w:lang w:val="en-US"/>
        </w:rPr>
        <w:t>In Class C unimodal curves, the hump-shaped profile arises when a system operates in a regime that actively maintains internal parameters within a characteristic range under changing external conditions (Cannon, 1929; Sterling, 2012). The x-axis represents an external perturbing factor not controlled by the system, while the y-axis represents an internal variable with a defined target range and mechanisms for detecting and correcting deviations. The defining feature is negative feedback: moderate shifts in the external factor elicit compensatory responses of opposite sign (Cannon, 1929). The central portion of the curve corresponds to conditions under which regulation is effective and the response is relatively insensitive to variation in the factor, whereas the descending limbs mark regions where regulatory capacity is exceeded or disrupted and the parameter exits the viable corridor. Unimodality should be interpreted as homeostatic only when three conditions are met: a clearly defined regulated variable, an explicit external factor relative to which it is stabilized, and identifiable feedbacks that reduce deviations and enable return to the operating range. In the absence of these elements, hump-shaped relationships are more appropriately interpreted as trajectories (Class B) or structural trade-offs (Class D).</w:t>
      </w:r>
    </w:p>
    <w:p w14:paraId="38381834" w14:textId="77777777" w:rsidR="005A2D51" w:rsidRPr="005A2D51" w:rsidRDefault="005A2D51" w:rsidP="005A2D51">
      <w:pPr>
        <w:spacing w:line="360" w:lineRule="auto"/>
        <w:ind w:firstLine="567"/>
        <w:jc w:val="both"/>
        <w:rPr>
          <w:rFonts w:ascii="Times New Roman" w:hAnsi="Times New Roman" w:cs="Times New Roman"/>
          <w:lang w:val="en-US"/>
        </w:rPr>
      </w:pPr>
      <w:r w:rsidRPr="005A2D51">
        <w:rPr>
          <w:rFonts w:ascii="Times New Roman" w:hAnsi="Times New Roman" w:cs="Times New Roman"/>
          <w:lang w:val="en-US"/>
        </w:rPr>
        <w:t>In biological systems, Class C profiles arise where an internal parameter, an external perturbation, and a closed negative-feedback loop are present. Within the regulated range, compensatory responses counteract perturbations and dampen sensitivity to the external factor. Once regulatory limits are exceeded, the response rapidly departs from the viable range, producing the descending limbs (Cannon, 1929; Sterling, 2012). Although regulatory architecture differs across scales, the core principle remains the same: the maximum or plateau corresponds to a range to which the system returns following perturbation, rather than to a most probable state or a transient phase of a cycle (Loreau, 2000; Scheffer et al., 2001). Without evidence for return dynamics, interpretation as Class C should remain provisional and default toward B- or D-like scenarios.</w:t>
      </w:r>
    </w:p>
    <w:p w14:paraId="5B0547C0" w14:textId="77777777" w:rsidR="005A2D51" w:rsidRPr="005A2D51" w:rsidRDefault="005A2D51" w:rsidP="005A2D51">
      <w:pPr>
        <w:spacing w:line="360" w:lineRule="auto"/>
        <w:ind w:firstLine="567"/>
        <w:jc w:val="both"/>
        <w:rPr>
          <w:rFonts w:ascii="Times New Roman" w:hAnsi="Times New Roman" w:cs="Times New Roman"/>
          <w:lang w:val="en-US"/>
        </w:rPr>
      </w:pPr>
      <w:r w:rsidRPr="005A2D51">
        <w:rPr>
          <w:rFonts w:ascii="Times New Roman" w:hAnsi="Times New Roman" w:cs="Times New Roman"/>
          <w:lang w:val="en-US"/>
        </w:rPr>
        <w:t>At the cellular level, this principle is exemplified by regulation of cell volume, ionic composition, and intracellular pH. Cell shrinkage activates pathways that enhance uptake or synthesis of osmolytes, whereas swelling engages efflux mechanisms that restore volume toward steady-state levels. Deviations in intracellular Na⁺, Ca²⁺, or pH similarly activate opposing transport processes that confine these parameters to narrow operational ranges compatible with enzyme function and membrane integrity (Evans et al., 2005). Multiple partial fluxes therefore stabilize the regulated variable from both sides, producing a plateau-like response around the target range.</w:t>
      </w:r>
    </w:p>
    <w:p w14:paraId="749E67D0" w14:textId="77777777" w:rsidR="005A2D51" w:rsidRPr="005A2D51" w:rsidRDefault="005A2D51" w:rsidP="005A2D51">
      <w:pPr>
        <w:spacing w:line="360" w:lineRule="auto"/>
        <w:ind w:firstLine="567"/>
        <w:jc w:val="both"/>
        <w:rPr>
          <w:rFonts w:ascii="Times New Roman" w:hAnsi="Times New Roman" w:cs="Times New Roman"/>
          <w:lang w:val="en-US"/>
        </w:rPr>
      </w:pPr>
      <w:r w:rsidRPr="005A2D51">
        <w:rPr>
          <w:rFonts w:ascii="Times New Roman" w:hAnsi="Times New Roman" w:cs="Times New Roman"/>
          <w:lang w:val="en-US"/>
        </w:rPr>
        <w:t>Redox balance provides another illustration of homeostatic unimodality. Oxidative shifts activate redox-sensitive transcription factors, inducing antioxidant and detoxification pathways that restore tissue-specific redox states, whereas excessive reducing potential suppresses these pathways and promotes consumption of reductants (Ma, 2013). Hepatic cytochrome P450 systems operate analogously: accumulation of xenobiotics induces appropriate metabolic enzymes and accelerates clearance, while declining substrate levels weaken induction and return expression toward baseline, preventing overshoot or toxic activation (Xu et al., 2005).</w:t>
      </w:r>
    </w:p>
    <w:p w14:paraId="7C01994F" w14:textId="77777777" w:rsidR="005A2D51" w:rsidRPr="005A2D51" w:rsidRDefault="005A2D51" w:rsidP="005A2D51">
      <w:pPr>
        <w:spacing w:line="360" w:lineRule="auto"/>
        <w:ind w:firstLine="567"/>
        <w:jc w:val="both"/>
        <w:rPr>
          <w:rFonts w:ascii="Times New Roman" w:hAnsi="Times New Roman" w:cs="Times New Roman"/>
          <w:lang w:val="en-US"/>
        </w:rPr>
      </w:pPr>
      <w:r w:rsidRPr="005A2D51">
        <w:rPr>
          <w:rFonts w:ascii="Times New Roman" w:hAnsi="Times New Roman" w:cs="Times New Roman"/>
          <w:lang w:val="en-US"/>
        </w:rPr>
        <w:t>At the organismal level, homeostatic unimodality is evident in endocrine and osmoregulatory systems of fishes. Basal cortisol concentrations are maintained by negative feedback within the hypothalamic–pituitary–interrenal axis, with stress-induced elevations self-limited by feedback and clearance mechanisms (Wendelaar Bonga, 1997). Prolactin-mediated osmoregulation in euryhaline species shows similar dynamics: salinity shifts elicit hormonal responses that are reversed once internal osmotic balance is restored (Manzon, 2002). Blood osmotic pressure is thereby maintained within a narrow physiological range despite wide variation in external salinity (Evans et al., 2005). Hump-shaped relationships between physiological performance and temperature or salinity can be interpreted as Class C only when the measured variable directly reflects stability of an internal parameter and feedback mechanisms limiting deviations are demonstrated (Kingsolver &amp; Huey, 2008); otherwise, a Class D interpretation remains more conservative.</w:t>
      </w:r>
    </w:p>
    <w:p w14:paraId="180DE975" w14:textId="7C961508" w:rsidR="005A2D51" w:rsidRPr="00654FE6" w:rsidRDefault="005A2D51" w:rsidP="008212AD">
      <w:pPr>
        <w:spacing w:line="360" w:lineRule="auto"/>
        <w:ind w:firstLine="567"/>
        <w:jc w:val="both"/>
        <w:rPr>
          <w:rFonts w:ascii="Times New Roman" w:hAnsi="Times New Roman" w:cs="Times New Roman"/>
          <w:lang w:val="en-US"/>
        </w:rPr>
      </w:pPr>
      <w:r w:rsidRPr="005A2D51">
        <w:rPr>
          <w:rFonts w:ascii="Times New Roman" w:hAnsi="Times New Roman" w:cs="Times New Roman"/>
          <w:lang w:val="en-US"/>
        </w:rPr>
        <w:t>At population and ecosystem levels, regulatory architecture becomes distributed, but unimodal profiles of stable abundance, biomass, or material fluxes may still reflect homeostatic control when clear density-dependent or biogeochemical feedbacks are present. Moderate deviations from equilibrium trigger compensatory changes in growth, recruitment, mortality, or nutrient cycling that tend to restore characteristic levels, whereas extreme deviations overwhelm regulation and lead to collapse or regime shifts (Loreau, 2000; Carpenter et al., 1998; Hilborn &amp; Walters, 2013). Interpretation of such hump-shaped relationships as Class C is justified only when recovery following perturbation can be demonstrated and return mechanisms identified. In the absence of such evidence, relationships such as productivity–richness or function–resource gradients are more parsimoniously interpreted as Class D, in which maxima arise from trade-offs among simultaneously acting processes rather than from active homeostatic maintenance (Mittelbach et al., 2001; Scheffer et al., 2001).</w:t>
      </w:r>
    </w:p>
    <w:p w14:paraId="6165348A" w14:textId="77777777" w:rsidR="005A2D51" w:rsidRPr="00654FE6" w:rsidRDefault="005A2D51" w:rsidP="008212AD">
      <w:pPr>
        <w:spacing w:line="360" w:lineRule="auto"/>
        <w:ind w:firstLine="567"/>
        <w:jc w:val="both"/>
        <w:rPr>
          <w:rFonts w:ascii="Times New Roman" w:hAnsi="Times New Roman" w:cs="Times New Roman"/>
          <w:lang w:val="en-US"/>
        </w:rPr>
      </w:pPr>
    </w:p>
    <w:p w14:paraId="327637CA" w14:textId="77777777" w:rsidR="00FC7625" w:rsidRPr="00654FE6" w:rsidRDefault="00FC7625" w:rsidP="0096342B">
      <w:pPr>
        <w:spacing w:line="360" w:lineRule="auto"/>
        <w:jc w:val="both"/>
        <w:rPr>
          <w:rFonts w:ascii="Times New Roman" w:hAnsi="Times New Roman" w:cs="Times New Roman"/>
          <w:b/>
          <w:bCs/>
          <w:lang w:val="en-US"/>
        </w:rPr>
      </w:pPr>
      <w:r w:rsidRPr="00654FE6">
        <w:rPr>
          <w:rFonts w:ascii="Times New Roman" w:hAnsi="Times New Roman" w:cs="Times New Roman"/>
          <w:b/>
          <w:bCs/>
          <w:lang w:val="en-US"/>
        </w:rPr>
        <w:t>Class D: structural trade-offs and aggregated response functions</w:t>
      </w:r>
    </w:p>
    <w:p w14:paraId="7073BB02" w14:textId="77777777" w:rsidR="00D845DE" w:rsidRPr="00D845DE" w:rsidRDefault="00D845DE" w:rsidP="00D845DE">
      <w:pPr>
        <w:spacing w:line="360" w:lineRule="auto"/>
        <w:ind w:firstLine="567"/>
        <w:jc w:val="both"/>
        <w:rPr>
          <w:rFonts w:ascii="Times New Roman" w:hAnsi="Times New Roman" w:cs="Times New Roman"/>
          <w:lang w:val="en-US"/>
        </w:rPr>
      </w:pPr>
      <w:r w:rsidRPr="00D845DE">
        <w:rPr>
          <w:rFonts w:ascii="Times New Roman" w:hAnsi="Times New Roman" w:cs="Times New Roman"/>
          <w:lang w:val="en-US"/>
        </w:rPr>
        <w:t>In Class D unimodal curves, the hump-shaped profile emerges from the simultaneous action of multiple processes operating along the same external gradient but exhibiting opposing tendencies, whose contributions are aggregated into a single response function (Levins, 1968; Agrawal et al., 2010). One set of mechanisms enhances the response variable as the driver increases, while another progressively constrains it, so that the resulting curve represents a structural trade-off, or “compromise profile,” defined by the algebraic composition of these components. The number of contributing components is not limited to two, and aggregation need not be multiplicative: sums, differences, and other monotonic transformations may likewise produce a single interior maximum over the relevant range (Kingsolver et al., 2001). The modal value does not correspond to a homeostatically maintained set point or to a phase along a trajectory, but to the point at which the combined geometry of benefits and costs yields a maximum of the aggregated function. The system need not “aim” for this peak; it arises as a consequence of process organization rather than as a selected target. Unlike statistical distributions or purely trajectory-based curves, Class D unimodality encodes the causal structure linking reinforcing and limiting mechanisms along an environmental gradient and is therefore sensitive to changes in their relative strength, even when overall curve shape appears similar. At the same time, curve geometry depends on the algebraic structure of aggregation and not on whether data are collected longitudinally or as cross-sectional snapshots, which distinguishes Class D from trajectory-based Class B (McGill et al., 2007).</w:t>
      </w:r>
    </w:p>
    <w:p w14:paraId="22DA3D48" w14:textId="77777777" w:rsidR="00D845DE" w:rsidRPr="00D845DE" w:rsidRDefault="00D845DE" w:rsidP="00D845DE">
      <w:pPr>
        <w:spacing w:line="360" w:lineRule="auto"/>
        <w:ind w:firstLine="567"/>
        <w:jc w:val="both"/>
        <w:rPr>
          <w:rFonts w:ascii="Times New Roman" w:hAnsi="Times New Roman" w:cs="Times New Roman"/>
          <w:lang w:val="en-US"/>
        </w:rPr>
      </w:pPr>
      <w:r w:rsidRPr="00D845DE">
        <w:rPr>
          <w:rFonts w:ascii="Times New Roman" w:hAnsi="Times New Roman" w:cs="Times New Roman"/>
          <w:lang w:val="en-US"/>
        </w:rPr>
        <w:t>At the level of individual organismal functions, structural trade-offs are particularly transparent in temperature and frequency dependence of muscle performance. The unimodal temperature dependence of tetanic force or power output can be conceptualized as the product of two temperature-dependent components: an increasing contractile capacity, which improves as enzymatic reactions, actomyosin cycling, and Ca²⁺ dynamics accelerate, and a decreasing integrity factor, reflecting the fraction of fibres compromised by thermal stress, membrane instability, or protein denaturation (Schmidt-Nielsen, 1997). In the suboptimal range, rising temperature predominantly enhances contractile potential and force increases; with further warming, loss of functional integrity progressively dominates, reducing the effective number of active elements and causing net performance to decline, even though each component remains monotonic when considered separately. A similar balance underlies the dependence of power output on contraction frequency: increasing frequency raises the number of work cycles per unit time, but simultaneously reduces work and force per cycle owing to incomplete contraction and rising internal losses. Maximum power occurs where gains from further acceleration are exactly offset by reductions in work per cycle (Rome, 1998). In this case, unimodality reflects a structural compromise rather than operation of a regulatory loop returning the system to an “optimal” frequency.</w:t>
      </w:r>
    </w:p>
    <w:p w14:paraId="296DA8E2" w14:textId="77777777" w:rsidR="00D845DE" w:rsidRPr="00D845DE" w:rsidRDefault="00D845DE" w:rsidP="00D845DE">
      <w:pPr>
        <w:spacing w:line="360" w:lineRule="auto"/>
        <w:ind w:firstLine="567"/>
        <w:jc w:val="both"/>
        <w:rPr>
          <w:rFonts w:ascii="Times New Roman" w:hAnsi="Times New Roman" w:cs="Times New Roman"/>
          <w:lang w:val="en-US"/>
        </w:rPr>
      </w:pPr>
      <w:r w:rsidRPr="00D845DE">
        <w:rPr>
          <w:rFonts w:ascii="Times New Roman" w:hAnsi="Times New Roman" w:cs="Times New Roman"/>
          <w:lang w:val="en-US"/>
        </w:rPr>
        <w:t>Dose–response relationships provide a further illustration. As hormone concentration increases, physiological effects initially rise through receptor recruitment and activation of signalling cascades. At supraphysiological doses, desensitization and downregulation are engaged: receptors are internalized, functional binding sites decline, and inhibitory pathways are upregulated. The net response reflects the aggregation of monotonic activation and sensitivity-loss processes, naturally producing an inverted U-shaped curve in which the maximum marks their balance rather than a system-level attractor (Kenakin, 2009; Catterall, 2013). An analogous trade-off governs net oxygen delivery as a function of ventilation rate. Increasing ventilation enhances oxygen uptake but also raises the energetic costs of respiratory and cardiovascular work. At excessive ventilation, these costs consume an increasing fraction of acquired oxygen, so that maximum net delivery occurs at an intermediate workload, best interpreted as the peak of a compromise function rather than as a homeostatically maintained “optimal ventilation” (Weibel, 1984).</w:t>
      </w:r>
    </w:p>
    <w:p w14:paraId="6EF4A2A4" w14:textId="77777777" w:rsidR="00D845DE" w:rsidRPr="00D845DE" w:rsidRDefault="00D845DE" w:rsidP="00D845DE">
      <w:pPr>
        <w:spacing w:line="360" w:lineRule="auto"/>
        <w:ind w:firstLine="567"/>
        <w:jc w:val="both"/>
        <w:rPr>
          <w:rFonts w:ascii="Times New Roman" w:hAnsi="Times New Roman" w:cs="Times New Roman"/>
          <w:lang w:val="en-US"/>
        </w:rPr>
      </w:pPr>
      <w:r w:rsidRPr="00D845DE">
        <w:rPr>
          <w:rFonts w:ascii="Times New Roman" w:hAnsi="Times New Roman" w:cs="Times New Roman"/>
          <w:lang w:val="en-US"/>
        </w:rPr>
        <w:t>At the population level, a classic example of structural unimodality is the age-specific biomass profile of a cohort. Biomass at age can be expressed as the product of abundance and mean individual mass. Abundance declines monotonically with cumulative mortality, whereas mean mass increases and approaches an asymptote. Neither component exhibits an intrinsic maximum, yet their product naturally forms a hump. At young ages, rapid growth more than compensates for numerical losses; at intermediate ages, gains in mass balance losses in numbers, producing a maximum; at older ages, cohort depletion overwhelms residual growth and biomass declines (Rose et al., 2001; Kerr &amp; Dickie, 2001). The shape of the curve is preserved whether one follows a single cohort longitudinally or analyses different age classes cross-sectionally at a single time point. In neither case does the maximum represent a stable age toward which the population returns; it marks the segment of the age gradient where the trade-off between growth and mortality yields the greatest contribution to total biomass.</w:t>
      </w:r>
    </w:p>
    <w:p w14:paraId="3A1064CA" w14:textId="77777777" w:rsidR="00D845DE" w:rsidRPr="00D845DE" w:rsidRDefault="00D845DE" w:rsidP="00D845DE">
      <w:pPr>
        <w:spacing w:line="360" w:lineRule="auto"/>
        <w:ind w:firstLine="567"/>
        <w:jc w:val="both"/>
        <w:rPr>
          <w:rFonts w:ascii="Times New Roman" w:hAnsi="Times New Roman" w:cs="Times New Roman"/>
          <w:lang w:val="en-US"/>
        </w:rPr>
      </w:pPr>
      <w:r w:rsidRPr="00D845DE">
        <w:rPr>
          <w:rFonts w:ascii="Times New Roman" w:hAnsi="Times New Roman" w:cs="Times New Roman"/>
          <w:lang w:val="en-US"/>
        </w:rPr>
        <w:t>The same logic underlies the Ricker stock–recruitment relationship. Recruitment can be represented as the product of increasing reproductive output, proportional to spawning stock size, and decreasing offspring survival that aggregates effects of competition, cannibalism, predation, pathogens, and habitat degradation as density increases (Ricker, 1954). At small stock sizes, increasing fecundity drives near-linear growth in recruitment; at intermediate sizes, the product reaches a maximum; at large stock sizes, declining survival outweighs gains from additional spawners and recruitment decreases. The peak corresponds to the stock size at which the marginal contribution of an additional spawner becomes zero or negative. None of the underlying processes includes a mechanism that returns the population to this point. The relationship therefore maps possible outcomes across stock sizes rather than defining a homeostatic attractor and belongs naturally to Class D (Hilborn &amp; Walters, 2013).</w:t>
      </w:r>
    </w:p>
    <w:p w14:paraId="21F772ED" w14:textId="77777777" w:rsidR="00D845DE" w:rsidRPr="00D845DE" w:rsidRDefault="00D845DE" w:rsidP="00D845DE">
      <w:pPr>
        <w:spacing w:line="360" w:lineRule="auto"/>
        <w:ind w:firstLine="567"/>
        <w:jc w:val="both"/>
        <w:rPr>
          <w:rFonts w:ascii="Times New Roman" w:hAnsi="Times New Roman" w:cs="Times New Roman"/>
          <w:lang w:val="en-US"/>
        </w:rPr>
      </w:pPr>
      <w:r w:rsidRPr="00D845DE">
        <w:rPr>
          <w:rFonts w:ascii="Times New Roman" w:hAnsi="Times New Roman" w:cs="Times New Roman"/>
          <w:lang w:val="en-US"/>
        </w:rPr>
        <w:t>At broader population and community scales, the same structural logic shapes relationships between functional contribution and resource availability, as well as diversity–productivity curves. Functional output along a resource gradient reflects the balance between facilitation under enrichment and resource-induced constraints such as consumer interference, hypoxia, toxicity, or environmental instability (Tilman &amp; Pacala, 1993; Agrawal et al., 2010). Aggregate output increases where facilitation dominates, reaches a maximum when opposing effects balance, and declines once constraints prevail. Such hump-shaped curves mark ranges where benefits and costs are balanced, but ecosystems generally lack internal mechanisms that hold them within this range or restore them after disturbance. In the absence of explicit evidence for return dynamics, these profiles should be interpreted as Class D rather than as homeostatic stabilization of Class C (Mittelbach et al., 2001; Loreau, 2000).</w:t>
      </w:r>
    </w:p>
    <w:p w14:paraId="2D00A3E6" w14:textId="77777777" w:rsidR="00D845DE" w:rsidRPr="00D845DE" w:rsidRDefault="00D845DE" w:rsidP="00D845DE">
      <w:pPr>
        <w:spacing w:line="360" w:lineRule="auto"/>
        <w:ind w:firstLine="567"/>
        <w:jc w:val="both"/>
        <w:rPr>
          <w:rFonts w:ascii="Times New Roman" w:hAnsi="Times New Roman" w:cs="Times New Roman"/>
          <w:lang w:val="en-US"/>
        </w:rPr>
      </w:pPr>
      <w:r w:rsidRPr="00D845DE">
        <w:rPr>
          <w:rFonts w:ascii="Times New Roman" w:hAnsi="Times New Roman" w:cs="Times New Roman"/>
          <w:lang w:val="en-US"/>
        </w:rPr>
        <w:t>Finally, numerous additional cases illustrate that structural trade-offs are not restricted to products of two variables. Mean body size in a population, egg lipid content across female age classes, immune control across pathogen loads, or photoreceptor spectral sensitivity as a function of wavelength all reflect situations in which each point on the curve represents the balance of multiple components responding differently to the driver (Stearns, 1992; Agrawal &amp; Fishbein, 2006). Unimodality emerges at the level of their sum, difference, or other aggregated function. What unites these cases is that the x-axis represents an external gradient along which benefits and costs are reorganized simultaneously, rather than a temporal axis or a regulated parameter. Consequently, the peak remains a functional maximum of a compromise, not an attractor of homeostatic regulation and not an obligatory stage of an inevitable cycle.</w:t>
      </w:r>
    </w:p>
    <w:p w14:paraId="06BB7B85" w14:textId="55A6FECD" w:rsidR="00A00C8E" w:rsidRPr="00654FE6" w:rsidRDefault="00A00C8E" w:rsidP="0096342B">
      <w:pPr>
        <w:spacing w:line="360" w:lineRule="auto"/>
        <w:jc w:val="both"/>
        <w:rPr>
          <w:rFonts w:ascii="Times New Roman" w:hAnsi="Times New Roman" w:cs="Times New Roman"/>
          <w:b/>
          <w:bCs/>
          <w:lang w:val="en-US"/>
        </w:rPr>
      </w:pPr>
      <w:r w:rsidRPr="00654FE6">
        <w:rPr>
          <w:rFonts w:ascii="Times New Roman" w:hAnsi="Times New Roman" w:cs="Times New Roman"/>
          <w:b/>
          <w:bCs/>
          <w:lang w:val="en-US"/>
        </w:rPr>
        <w:t xml:space="preserve">Class A </w:t>
      </w:r>
      <w:r w:rsidR="003C1A3F" w:rsidRPr="00654FE6">
        <w:rPr>
          <w:rFonts w:ascii="Times New Roman" w:hAnsi="Times New Roman" w:cs="Times New Roman"/>
          <w:b/>
          <w:bCs/>
          <w:lang w:val="en-US"/>
        </w:rPr>
        <w:t xml:space="preserve">↔ </w:t>
      </w:r>
      <w:r w:rsidR="0096342B" w:rsidRPr="00654FE6">
        <w:rPr>
          <w:rFonts w:ascii="Times New Roman" w:hAnsi="Times New Roman" w:cs="Times New Roman"/>
          <w:b/>
          <w:bCs/>
          <w:lang w:val="en-US"/>
        </w:rPr>
        <w:t xml:space="preserve">Class </w:t>
      </w:r>
      <w:r w:rsidRPr="00654FE6">
        <w:rPr>
          <w:rFonts w:ascii="Times New Roman" w:hAnsi="Times New Roman" w:cs="Times New Roman"/>
          <w:b/>
          <w:bCs/>
          <w:lang w:val="en-US"/>
        </w:rPr>
        <w:t>B</w:t>
      </w:r>
    </w:p>
    <w:p w14:paraId="72540B95" w14:textId="77777777" w:rsidR="00D845DE" w:rsidRPr="00D845DE" w:rsidRDefault="00D845DE" w:rsidP="00D845DE">
      <w:pPr>
        <w:spacing w:line="360" w:lineRule="auto"/>
        <w:ind w:firstLine="567"/>
        <w:jc w:val="both"/>
        <w:rPr>
          <w:rFonts w:ascii="Times New Roman" w:hAnsi="Times New Roman" w:cs="Times New Roman"/>
          <w:lang w:val="en-US"/>
        </w:rPr>
      </w:pPr>
      <w:r w:rsidRPr="00D845DE">
        <w:rPr>
          <w:rFonts w:ascii="Times New Roman" w:hAnsi="Times New Roman" w:cs="Times New Roman"/>
          <w:lang w:val="en-US"/>
        </w:rPr>
        <w:t>In hybrid A→B cases, the same biological system may be described either as a stationary distribution of states or as a process trajectory, depending on whether the X-axis is treated as a sampling label or as an axis of irreversible progression (McGill et al., 2007; West et al., 2001). For example, the distribution of body length or body mass in an adult fish population, measured for a single cohort within one season, forms a canonical Class A pattern: a lognormal or near-lognormal distribution whose peak corresponds to the most probable size arising from the product of many stochastic growth multipliers, rather than to a phase of a cycle or a regulated target state (Kerr &amp; Dickie, 2001).</w:t>
      </w:r>
    </w:p>
    <w:p w14:paraId="1D4D4074" w14:textId="77777777" w:rsidR="00D845DE" w:rsidRPr="00D845DE" w:rsidRDefault="00D845DE" w:rsidP="00D845DE">
      <w:pPr>
        <w:spacing w:line="360" w:lineRule="auto"/>
        <w:ind w:firstLine="567"/>
        <w:jc w:val="both"/>
        <w:rPr>
          <w:rFonts w:ascii="Times New Roman" w:hAnsi="Times New Roman" w:cs="Times New Roman"/>
          <w:lang w:val="en-US"/>
        </w:rPr>
      </w:pPr>
      <w:r w:rsidRPr="00D845DE">
        <w:rPr>
          <w:rFonts w:ascii="Times New Roman" w:hAnsi="Times New Roman" w:cs="Times New Roman"/>
          <w:lang w:val="en-US"/>
        </w:rPr>
        <w:t>When the same age sequence is analysed under a different analytical framing, however, the causal interpretation changes. Reconstructing growth rates or lipid accumulation as functions of age—either by combining individuals of known age (0+, 1+, 2+, and so on) or by following individual fish through mark–recapture, otolith back-calculation, or repeated measurements—reveals the defining properties of Class B. Each trajectory exhibits a rise followed by decline; the maximum growth rate or body condition marks a transient phase, and return to this maximum is possible only through repetition of the full sequence of stages rather than through local regulatory adjustment (Stearns, 1992; Rose et al., 2001).</w:t>
      </w:r>
    </w:p>
    <w:p w14:paraId="37AE5637" w14:textId="77777777" w:rsidR="00D845DE" w:rsidRPr="00D845DE" w:rsidRDefault="00D845DE" w:rsidP="00D845DE">
      <w:pPr>
        <w:spacing w:line="360" w:lineRule="auto"/>
        <w:ind w:firstLine="567"/>
        <w:jc w:val="both"/>
        <w:rPr>
          <w:rFonts w:ascii="Times New Roman" w:hAnsi="Times New Roman" w:cs="Times New Roman"/>
          <w:lang w:val="en-US"/>
        </w:rPr>
      </w:pPr>
      <w:r w:rsidRPr="00D845DE">
        <w:rPr>
          <w:rFonts w:ascii="Times New Roman" w:hAnsi="Times New Roman" w:cs="Times New Roman"/>
          <w:lang w:val="en-US"/>
        </w:rPr>
        <w:t>An analogous transition is observed in cellular systems. In a synchronised culture or microcolony for which individual lineages can be reconstructed from founding cells, the instantaneous distribution of log-transformed cell volumes can be interpreted as a Class A pattern: unimodality reflects the repeated application of stochastic multiplicative growth factors and captures variation within the cellular ensemble (McGill et al., 2007). When these same observations are unfolded into time-resolved trajectories of individual cells, as in lineage-tracking approaches, they instead reveal a Class B pattern, in which each cell passes through a maximum size that is inevitably followed by division and a reduction in volume (Levy et al., 2012).</w:t>
      </w:r>
    </w:p>
    <w:p w14:paraId="362E5F09" w14:textId="77777777" w:rsidR="00D845DE" w:rsidRPr="00D845DE" w:rsidRDefault="00D845DE" w:rsidP="00D845DE">
      <w:pPr>
        <w:spacing w:line="360" w:lineRule="auto"/>
        <w:ind w:firstLine="567"/>
        <w:jc w:val="both"/>
        <w:rPr>
          <w:rFonts w:ascii="Times New Roman" w:hAnsi="Times New Roman" w:cs="Times New Roman"/>
          <w:lang w:val="en-US"/>
        </w:rPr>
      </w:pPr>
      <w:r w:rsidRPr="00D845DE">
        <w:rPr>
          <w:rFonts w:ascii="Times New Roman" w:hAnsi="Times New Roman" w:cs="Times New Roman"/>
          <w:lang w:val="en-US"/>
        </w:rPr>
        <w:t>In both examples, the A→B transition does not reflect any change in the underlying biology of the system, but a shift in the analytical role assigned to the X-axis. Treating time as a label yields a distributional description, whereas treating it as a process yields a trajectory-based one, thereby reclassifying the same empirical pattern from Class A to Class B (Levins, 1968).</w:t>
      </w:r>
    </w:p>
    <w:p w14:paraId="65A5F641" w14:textId="1CC356FC" w:rsidR="00A14E57" w:rsidRPr="00654FE6" w:rsidRDefault="00A14E57" w:rsidP="00A14E57">
      <w:pPr>
        <w:rPr>
          <w:rFonts w:ascii="Times New Roman" w:hAnsi="Times New Roman" w:cs="Times New Roman"/>
          <w:b/>
          <w:bCs/>
          <w:lang w:val="en-US"/>
        </w:rPr>
      </w:pPr>
      <w:r w:rsidRPr="00654FE6">
        <w:rPr>
          <w:rFonts w:ascii="Times New Roman" w:hAnsi="Times New Roman" w:cs="Times New Roman"/>
          <w:b/>
          <w:bCs/>
          <w:lang w:val="en-US"/>
        </w:rPr>
        <w:t xml:space="preserve">Class C </w:t>
      </w:r>
      <w:r w:rsidR="003C1A3F" w:rsidRPr="00654FE6">
        <w:rPr>
          <w:rFonts w:ascii="Times New Roman" w:hAnsi="Times New Roman" w:cs="Times New Roman"/>
          <w:b/>
          <w:bCs/>
          <w:lang w:val="en-US"/>
        </w:rPr>
        <w:t xml:space="preserve">↔ </w:t>
      </w:r>
      <w:r w:rsidR="0096342B" w:rsidRPr="00654FE6">
        <w:rPr>
          <w:rFonts w:ascii="Times New Roman" w:hAnsi="Times New Roman" w:cs="Times New Roman"/>
          <w:b/>
          <w:bCs/>
          <w:lang w:val="en-US"/>
        </w:rPr>
        <w:t xml:space="preserve">Class </w:t>
      </w:r>
      <w:r w:rsidRPr="00654FE6">
        <w:rPr>
          <w:rFonts w:ascii="Times New Roman" w:hAnsi="Times New Roman" w:cs="Times New Roman"/>
          <w:b/>
          <w:bCs/>
          <w:lang w:val="en-US"/>
        </w:rPr>
        <w:t>D</w:t>
      </w:r>
    </w:p>
    <w:p w14:paraId="348F0ABE" w14:textId="77777777" w:rsidR="00654FE6" w:rsidRPr="00654FE6" w:rsidRDefault="00654FE6" w:rsidP="00654FE6">
      <w:pPr>
        <w:spacing w:line="360" w:lineRule="auto"/>
        <w:ind w:firstLine="567"/>
        <w:jc w:val="both"/>
        <w:rPr>
          <w:rFonts w:ascii="Times New Roman" w:hAnsi="Times New Roman" w:cs="Times New Roman"/>
          <w:lang w:val="en-US"/>
        </w:rPr>
      </w:pPr>
      <w:r w:rsidRPr="00654FE6">
        <w:rPr>
          <w:rFonts w:ascii="Times New Roman" w:hAnsi="Times New Roman" w:cs="Times New Roman"/>
          <w:lang w:val="en-US"/>
        </w:rPr>
        <w:t>C→D hybrids arise when a parameter that is locally maintained by homeostatic mechanisms at the level of individual units becomes, at a higher level of aggregation, embedded within a structural trade-off along an external gradient (Cannon, 1929; Levins, 1968). In individual fish, lipid reserves and body condition often behave as Class C variables: endocrine and behavioural control loops regulating appetite, energy expenditure, and activity buffer short-term fluctuations in food availability and workload, returning lipid stores to a functional range (Wendelaar Bonga, 1997; Henderson &amp; Tocher, 1987). Over this range, unimodality reflects a genuine domain of return, with departures from the centre triggering compensatory responses and the descending limbs marking loss or saturation of regulatory control (Sterling, 2012).</w:t>
      </w:r>
    </w:p>
    <w:p w14:paraId="6E9BE1FA" w14:textId="77777777" w:rsidR="00654FE6" w:rsidRPr="00654FE6" w:rsidRDefault="00654FE6" w:rsidP="00654FE6">
      <w:pPr>
        <w:spacing w:line="360" w:lineRule="auto"/>
        <w:ind w:firstLine="567"/>
        <w:jc w:val="both"/>
        <w:rPr>
          <w:rFonts w:ascii="Times New Roman" w:hAnsi="Times New Roman" w:cs="Times New Roman"/>
          <w:lang w:val="en-US"/>
        </w:rPr>
      </w:pPr>
      <w:r w:rsidRPr="00654FE6">
        <w:rPr>
          <w:rFonts w:ascii="Times New Roman" w:hAnsi="Times New Roman" w:cs="Times New Roman"/>
          <w:lang w:val="en-US"/>
        </w:rPr>
        <w:t>At broader scales, however, the same variable may participate in a fundamentally different causal architecture. When within-individual lipid variability is tightly constrained by negative feedback, but among-individual variation across gradients of productivity or environmental stress is large, the population mean increasingly reflects the balance of reinforcing and limiting processes rather than regulation. Under low productivity, facilitation dominates: higher per-capita food availability and reduced search costs support increased lipid storage. Beyond that point, constraints soon dominate, including elevated metabolic costs, predation risk, hypoxia, and toxic effects, causing the aggregated response to decline (Deutsch et al., 2008; Sinclair et al., 2016). The resulting peak reflects a balance of benefits and costs, not a homeostatically maintained set point of the population as a whole, and no population-level mechanism exists that would actively restore this maximum following perturbation (Loreau, 2000; Agrawal et al., 2010).</w:t>
      </w:r>
    </w:p>
    <w:p w14:paraId="6D39348B" w14:textId="77777777" w:rsidR="00654FE6" w:rsidRPr="00654FE6" w:rsidRDefault="00654FE6" w:rsidP="00654FE6">
      <w:pPr>
        <w:spacing w:line="360" w:lineRule="auto"/>
        <w:ind w:firstLine="567"/>
        <w:jc w:val="both"/>
        <w:rPr>
          <w:rFonts w:ascii="Times New Roman" w:hAnsi="Times New Roman" w:cs="Times New Roman"/>
          <w:lang w:val="en-US"/>
        </w:rPr>
      </w:pPr>
      <w:r w:rsidRPr="00654FE6">
        <w:rPr>
          <w:rFonts w:ascii="Times New Roman" w:hAnsi="Times New Roman" w:cs="Times New Roman"/>
          <w:lang w:val="en-US"/>
        </w:rPr>
        <w:t>A parallel shift is evident in osmoregulatory systems. At the organismal level, plasma osmotic pressure in euryhaline fish is stabilised by a network of negative feedbacks as salinity varies, generating a Class C unimodal profile along the external gradient (Evans et al., 2005; Manzon, 2002). When the same gradient is considered at the community level, it instead produces a Class D relationship. Increasing salinity or productivity initially promotes species richness by expanding accessible niches and alleviating stress; further increases intensify competition, favour dominance by a small number of tolerant species, exacerbate hypoxia, and increase environmental instability, ultimately reducing richness (Mittelbach et al., 2001; Sterner &amp; Elser, 2002).</w:t>
      </w:r>
    </w:p>
    <w:p w14:paraId="46A1BB19" w14:textId="77777777" w:rsidR="00654FE6" w:rsidRPr="00654FE6" w:rsidRDefault="00654FE6" w:rsidP="00654FE6">
      <w:pPr>
        <w:spacing w:line="360" w:lineRule="auto"/>
        <w:ind w:firstLine="567"/>
        <w:jc w:val="both"/>
        <w:rPr>
          <w:rFonts w:ascii="Times New Roman" w:hAnsi="Times New Roman" w:cs="Times New Roman"/>
          <w:lang w:val="en-US"/>
        </w:rPr>
      </w:pPr>
      <w:r w:rsidRPr="00654FE6">
        <w:rPr>
          <w:rFonts w:ascii="Times New Roman" w:hAnsi="Times New Roman" w:cs="Times New Roman"/>
          <w:lang w:val="en-US"/>
        </w:rPr>
        <w:t>In both cases, the C→D transition reflects a change in the level of aggregation rather than a change in the underlying biology. A parameter that is locally regulated at one level becomes a component of a structural trade-off at another, and unimodality ceases to signal homeostasis. Instead, the curve encodes the geometry of opposing processes acting along an external gradient (Scheffer et al., 2001).</w:t>
      </w:r>
    </w:p>
    <w:p w14:paraId="3212D890" w14:textId="77777777" w:rsidR="000A6D9B" w:rsidRPr="000F676B" w:rsidRDefault="000A6D9B" w:rsidP="000A6D9B">
      <w:pPr>
        <w:pStyle w:val="ds-markdown-paragraph"/>
        <w:spacing w:before="0" w:after="0" w:line="360" w:lineRule="auto"/>
        <w:ind w:left="426" w:hanging="426"/>
        <w:jc w:val="both"/>
        <w:rPr>
          <w:b/>
          <w:bCs/>
          <w:sz w:val="32"/>
          <w:szCs w:val="32"/>
          <w:lang w:val="en-US"/>
        </w:rPr>
      </w:pPr>
      <w:r w:rsidRPr="000F676B">
        <w:rPr>
          <w:b/>
          <w:bCs/>
          <w:sz w:val="32"/>
          <w:szCs w:val="32"/>
          <w:lang w:val="en-US"/>
        </w:rPr>
        <w:t>REFERENCES</w:t>
      </w:r>
    </w:p>
    <w:p w14:paraId="60CC372C" w14:textId="16360EEC" w:rsidR="008A7FAD" w:rsidRPr="00654FE6" w:rsidRDefault="008A7FAD" w:rsidP="008A7FAD">
      <w:pPr>
        <w:pStyle w:val="ds-markdown-paragraph"/>
        <w:spacing w:after="0" w:line="360" w:lineRule="auto"/>
        <w:ind w:left="360" w:hanging="360"/>
        <w:jc w:val="both"/>
        <w:rPr>
          <w:lang w:val="en-US"/>
        </w:rPr>
      </w:pPr>
      <w:bookmarkStart w:id="1" w:name="_Hlk219824941"/>
      <w:r w:rsidRPr="00654FE6">
        <w:rPr>
          <w:lang w:val="en-US"/>
        </w:rPr>
        <w:t>​​Agrawal, A. A. &amp; Fishbein, M. Plant defense syndromes. Ecology 87, S132–S149 (2006). doi.org/10.1890/0012-9658(2006)87[132:PDS]2.0.CO;2</w:t>
      </w:r>
    </w:p>
    <w:p w14:paraId="48BAB6C7" w14:textId="77777777" w:rsidR="005C09C2" w:rsidRPr="00654FE6" w:rsidRDefault="005C09C2" w:rsidP="005C09C2">
      <w:pPr>
        <w:spacing w:line="360" w:lineRule="auto"/>
        <w:ind w:left="567" w:hanging="567"/>
        <w:jc w:val="both"/>
        <w:rPr>
          <w:rFonts w:ascii="Times New Roman" w:hAnsi="Times New Roman" w:cs="Times New Roman"/>
          <w:lang w:val="en-US"/>
        </w:rPr>
      </w:pPr>
      <w:r w:rsidRPr="00654FE6">
        <w:rPr>
          <w:rFonts w:ascii="Times New Roman" w:hAnsi="Times New Roman" w:cs="Times New Roman"/>
          <w:lang w:val="en-US"/>
        </w:rPr>
        <w:t>Cannon, W. B. Organization for physiological homeostasis. Physiol. Rev. 9, 399–431 (1929).</w:t>
      </w:r>
      <w:r w:rsidRPr="00654FE6">
        <w:rPr>
          <w:rFonts w:ascii="Segoe UI" w:hAnsi="Segoe UI" w:cs="Segoe UI"/>
          <w:color w:val="002033"/>
          <w:sz w:val="36"/>
          <w:szCs w:val="36"/>
          <w:shd w:val="clear" w:color="auto" w:fill="FFFFFF"/>
          <w:lang w:val="en-US"/>
        </w:rPr>
        <w:t xml:space="preserve"> </w:t>
      </w:r>
      <w:r w:rsidRPr="00654FE6">
        <w:rPr>
          <w:rFonts w:ascii="Times New Roman" w:hAnsi="Times New Roman" w:cs="Times New Roman"/>
          <w:lang w:val="en-US"/>
        </w:rPr>
        <w:t>doi.org/10.1152/physrev.1929.9.3.399</w:t>
      </w:r>
    </w:p>
    <w:p w14:paraId="113AF2F4" w14:textId="77777777" w:rsidR="008A7FAD" w:rsidRPr="00654FE6" w:rsidRDefault="008A7FAD" w:rsidP="008A7FAD">
      <w:pPr>
        <w:pStyle w:val="ds-markdown-paragraph"/>
        <w:spacing w:after="0" w:line="360" w:lineRule="auto"/>
        <w:ind w:left="360" w:hanging="360"/>
        <w:jc w:val="both"/>
        <w:rPr>
          <w:lang w:val="en-US"/>
        </w:rPr>
      </w:pPr>
      <w:r w:rsidRPr="00654FE6">
        <w:rPr>
          <w:lang w:val="en-US"/>
        </w:rPr>
        <w:t>Carpenter, S. R. et al. Nonpoint pollution of surface waters with phosphorus and nitrogen. Ecol. Appl. 8, 559–568 (1998). doi.org/10.1890/1051-0761(1998)008[0559:NPOSWW]2.0.CO;2</w:t>
      </w:r>
    </w:p>
    <w:p w14:paraId="22002BCF" w14:textId="77777777" w:rsidR="008A7FAD" w:rsidRPr="00654FE6" w:rsidRDefault="008A7FAD" w:rsidP="00691728">
      <w:pPr>
        <w:pStyle w:val="ds-markdown-paragraph"/>
        <w:spacing w:after="0" w:line="360" w:lineRule="auto"/>
        <w:ind w:left="360" w:hanging="360"/>
        <w:jc w:val="both"/>
        <w:rPr>
          <w:lang w:val="en-US"/>
        </w:rPr>
      </w:pPr>
      <w:r w:rsidRPr="00654FE6">
        <w:rPr>
          <w:lang w:val="en-US"/>
        </w:rPr>
        <w:t>Catterall, W. A. Voltage-gated calcium channels. Cold Spring Harb. Perspect. Biol. 3, a003947 (2011). doi: 10.1101/cshperspect.a003947.</w:t>
      </w:r>
    </w:p>
    <w:p w14:paraId="27036484" w14:textId="77777777" w:rsidR="00F52781" w:rsidRPr="00654FE6" w:rsidRDefault="00F52781" w:rsidP="00F52781">
      <w:pPr>
        <w:spacing w:line="360" w:lineRule="auto"/>
        <w:ind w:left="567" w:hanging="567"/>
        <w:jc w:val="both"/>
        <w:rPr>
          <w:rFonts w:ascii="Times New Roman" w:hAnsi="Times New Roman" w:cs="Times New Roman"/>
          <w:lang w:val="en-US"/>
        </w:rPr>
      </w:pPr>
      <w:r w:rsidRPr="00654FE6">
        <w:rPr>
          <w:rFonts w:ascii="Times New Roman" w:hAnsi="Times New Roman" w:cs="Times New Roman"/>
          <w:lang w:val="en-US"/>
        </w:rPr>
        <w:t>Evans, D. H., Piermarini, P. M. &amp; Choe, K. P. The multifunctional fish gill: Dominant site of gas exchange, osmoregulation, acid-base regulation, and excretion of nitrogenous waste. Physiol. Rev. 85, 97–177 (2005). doi.org/10.1152/physrev.00050.200.</w:t>
      </w:r>
    </w:p>
    <w:p w14:paraId="7B9D6D1A" w14:textId="77777777" w:rsidR="008A7FAD" w:rsidRPr="00654FE6" w:rsidRDefault="008A7FAD" w:rsidP="00691728">
      <w:pPr>
        <w:pStyle w:val="ds-markdown-paragraph"/>
        <w:spacing w:after="0" w:line="360" w:lineRule="auto"/>
        <w:ind w:left="360" w:hanging="360"/>
        <w:jc w:val="both"/>
        <w:rPr>
          <w:lang w:val="en-US"/>
        </w:rPr>
      </w:pPr>
      <w:r w:rsidRPr="00654FE6">
        <w:rPr>
          <w:lang w:val="en-US"/>
        </w:rPr>
        <w:t>Henderson, R. J. &amp; Tocher, D. R. The lipid composition and biochemistry of freshwater fish. Prog. Lipid Res. 26, 281–347 (1987). doi.org/10.1016/0163-7827(87)90002-6.</w:t>
      </w:r>
    </w:p>
    <w:p w14:paraId="43D3C31B" w14:textId="77777777" w:rsidR="008A7FAD" w:rsidRPr="00654FE6" w:rsidRDefault="008A7FAD" w:rsidP="00691728">
      <w:pPr>
        <w:pStyle w:val="ds-markdown-paragraph"/>
        <w:spacing w:before="0" w:after="0" w:line="360" w:lineRule="auto"/>
        <w:ind w:left="360" w:hanging="360"/>
        <w:jc w:val="both"/>
        <w:rPr>
          <w:lang w:val="en-US"/>
        </w:rPr>
      </w:pPr>
      <w:r w:rsidRPr="00654FE6">
        <w:rPr>
          <w:lang w:val="en-US"/>
        </w:rPr>
        <w:t>Hilborn, R., &amp; Walters, C. J. (Eds.). (2013). </w:t>
      </w:r>
      <w:r w:rsidRPr="00654FE6">
        <w:rPr>
          <w:i/>
          <w:iCs/>
          <w:lang w:val="en-US"/>
        </w:rPr>
        <w:t>Quantitative fisheries stock assessment: choice, dynamics and uncertainty</w:t>
      </w:r>
      <w:r w:rsidRPr="00654FE6">
        <w:rPr>
          <w:lang w:val="en-US"/>
        </w:rPr>
        <w:t>. Springer Science &amp; Business Media.</w:t>
      </w:r>
    </w:p>
    <w:p w14:paraId="45E01978" w14:textId="77777777" w:rsidR="008A7FAD" w:rsidRPr="00654FE6" w:rsidRDefault="008A7FAD" w:rsidP="00691728">
      <w:pPr>
        <w:pStyle w:val="ds-markdown-paragraph"/>
        <w:spacing w:after="0" w:line="360" w:lineRule="auto"/>
        <w:ind w:left="360" w:hanging="360"/>
        <w:jc w:val="both"/>
        <w:rPr>
          <w:lang w:val="en-US"/>
        </w:rPr>
      </w:pPr>
      <w:r w:rsidRPr="00654FE6">
        <w:rPr>
          <w:lang w:val="en-US"/>
        </w:rPr>
        <w:t>Kenakin, T. P. (2009). A pharmacology primer: theory, application and methods. Academic Press.</w:t>
      </w:r>
    </w:p>
    <w:p w14:paraId="2903D6C5" w14:textId="77777777" w:rsidR="00DE1152" w:rsidRPr="00654FE6" w:rsidRDefault="00DE1152" w:rsidP="00DE1152">
      <w:pPr>
        <w:spacing w:line="360" w:lineRule="auto"/>
        <w:ind w:left="567" w:hanging="567"/>
        <w:jc w:val="both"/>
        <w:rPr>
          <w:rFonts w:ascii="Times New Roman" w:hAnsi="Times New Roman" w:cs="Times New Roman"/>
          <w:lang w:val="en-US"/>
        </w:rPr>
      </w:pPr>
      <w:r w:rsidRPr="00654FE6">
        <w:rPr>
          <w:rFonts w:ascii="Times New Roman" w:hAnsi="Times New Roman" w:cs="Times New Roman"/>
          <w:lang w:val="en-US"/>
        </w:rPr>
        <w:t>Kingsolver, J. G. &amp; Huey, R. B. Size, temperature, and fitness: three rules. Evol. Ecol. Res. 10, 251–268 (2008).</w:t>
      </w:r>
    </w:p>
    <w:p w14:paraId="02F6C5C9" w14:textId="500E60CC" w:rsidR="00FD4489" w:rsidRPr="00654FE6" w:rsidRDefault="00FD4489" w:rsidP="00691728">
      <w:pPr>
        <w:pStyle w:val="ds-markdown-paragraph"/>
        <w:spacing w:after="0" w:line="360" w:lineRule="auto"/>
        <w:ind w:left="360" w:hanging="360"/>
        <w:jc w:val="both"/>
        <w:rPr>
          <w:lang w:val="en-US"/>
        </w:rPr>
      </w:pPr>
      <w:r w:rsidRPr="00654FE6">
        <w:rPr>
          <w:lang w:val="en-US"/>
        </w:rPr>
        <w:t>Kerr, S. R. &amp; Dickie, L. M. The Biomass Spectrum: A Predator–Prey Theory of Aquatic Production. Columbia Univ. Press (2001).</w:t>
      </w:r>
    </w:p>
    <w:p w14:paraId="413DEB68" w14:textId="77777777" w:rsidR="008A7FAD" w:rsidRPr="00654FE6" w:rsidRDefault="008A7FAD" w:rsidP="00691728">
      <w:pPr>
        <w:pStyle w:val="ds-markdown-paragraph"/>
        <w:spacing w:after="0" w:line="360" w:lineRule="auto"/>
        <w:ind w:left="360" w:hanging="360"/>
        <w:jc w:val="both"/>
        <w:rPr>
          <w:lang w:val="en-US"/>
        </w:rPr>
      </w:pPr>
      <w:r w:rsidRPr="00654FE6">
        <w:rPr>
          <w:lang w:val="en-US"/>
        </w:rPr>
        <w:t>Lauder, G. V. (1980). Hydrodynamics of prey capture by teleost fishes. In </w:t>
      </w:r>
      <w:r w:rsidRPr="00654FE6">
        <w:rPr>
          <w:i/>
          <w:iCs/>
          <w:lang w:val="en-US"/>
        </w:rPr>
        <w:t>Biofluid Mechanics· 2</w:t>
      </w:r>
      <w:r w:rsidRPr="00654FE6">
        <w:rPr>
          <w:lang w:val="en-US"/>
        </w:rPr>
        <w:t> (pp. 161-181). Boston, MA: Springer US.</w:t>
      </w:r>
    </w:p>
    <w:p w14:paraId="7F7CD450" w14:textId="77777777" w:rsidR="008A7FAD" w:rsidRPr="0075057A" w:rsidRDefault="008A7FAD" w:rsidP="00691728">
      <w:pPr>
        <w:pStyle w:val="ds-markdown-paragraph"/>
        <w:spacing w:before="0" w:after="0" w:line="360" w:lineRule="auto"/>
        <w:ind w:left="360" w:hanging="360"/>
        <w:jc w:val="both"/>
        <w:rPr>
          <w:lang w:val="en-US"/>
        </w:rPr>
      </w:pPr>
      <w:r w:rsidRPr="00654FE6">
        <w:rPr>
          <w:lang w:val="en-US"/>
        </w:rPr>
        <w:t>Levy, S. F. et al. Quantitative evolutionary dynamics using high-resolution lineage tracking. Nature 519, 181–186 (2015). doi.org/10.1038/nature14279</w:t>
      </w:r>
    </w:p>
    <w:p w14:paraId="7FFC9DE7" w14:textId="47D6D079" w:rsidR="004F59A6" w:rsidRPr="00654FE6" w:rsidRDefault="004F59A6" w:rsidP="00691728">
      <w:pPr>
        <w:pStyle w:val="ds-markdown-paragraph"/>
        <w:spacing w:before="0" w:after="0" w:line="360" w:lineRule="auto"/>
        <w:ind w:left="360" w:hanging="360"/>
        <w:jc w:val="both"/>
        <w:rPr>
          <w:lang w:val="en-US"/>
        </w:rPr>
      </w:pPr>
      <w:r w:rsidRPr="00654FE6">
        <w:rPr>
          <w:lang w:val="en-US"/>
        </w:rPr>
        <w:t>Limpert, E., Stahel, W. A., &amp; Abbt, M. (2001). Log-normal distributions across the sciences: keys and clues: on the charms of statistics, and how mechanical models resembling gambling machines offer a link to a handy way to characterize log-normal distributions, which can provide deeper insight into variability and probability—normal or log-normal: that is the question. </w:t>
      </w:r>
      <w:r w:rsidRPr="00654FE6">
        <w:rPr>
          <w:i/>
          <w:iCs/>
          <w:lang w:val="en-US"/>
        </w:rPr>
        <w:t>BioScience</w:t>
      </w:r>
      <w:r w:rsidRPr="00654FE6">
        <w:rPr>
          <w:lang w:val="en-US"/>
        </w:rPr>
        <w:t>, </w:t>
      </w:r>
      <w:r w:rsidRPr="00654FE6">
        <w:rPr>
          <w:i/>
          <w:iCs/>
          <w:lang w:val="en-US"/>
        </w:rPr>
        <w:t>51</w:t>
      </w:r>
      <w:r w:rsidRPr="00654FE6">
        <w:rPr>
          <w:lang w:val="en-US"/>
        </w:rPr>
        <w:t>(5), 341-352.</w:t>
      </w:r>
    </w:p>
    <w:p w14:paraId="7EE0AD1D" w14:textId="77777777" w:rsidR="005C09C2" w:rsidRPr="00654FE6" w:rsidRDefault="005C09C2" w:rsidP="005C09C2">
      <w:pPr>
        <w:spacing w:line="360" w:lineRule="auto"/>
        <w:ind w:left="567" w:hanging="567"/>
        <w:jc w:val="both"/>
        <w:rPr>
          <w:rFonts w:ascii="Times New Roman" w:hAnsi="Times New Roman" w:cs="Times New Roman"/>
          <w:lang w:val="en-US"/>
        </w:rPr>
      </w:pPr>
      <w:r w:rsidRPr="00654FE6">
        <w:rPr>
          <w:rFonts w:ascii="Times New Roman" w:hAnsi="Times New Roman" w:cs="Times New Roman"/>
          <w:lang w:val="en-US"/>
        </w:rPr>
        <w:t xml:space="preserve">Loreau, M. Are communities saturated? On the relationship between </w:t>
      </w:r>
      <w:r w:rsidRPr="00654FE6">
        <w:rPr>
          <w:rFonts w:ascii="Times New Roman" w:hAnsi="Times New Roman" w:cs="Times New Roman"/>
        </w:rPr>
        <w:t>α</w:t>
      </w:r>
      <w:r w:rsidRPr="00654FE6">
        <w:rPr>
          <w:rFonts w:ascii="Times New Roman" w:hAnsi="Times New Roman" w:cs="Times New Roman"/>
          <w:lang w:val="en-US"/>
        </w:rPr>
        <w:t xml:space="preserve">, </w:t>
      </w:r>
      <w:r w:rsidRPr="00654FE6">
        <w:rPr>
          <w:rFonts w:ascii="Times New Roman" w:hAnsi="Times New Roman" w:cs="Times New Roman"/>
        </w:rPr>
        <w:t>β</w:t>
      </w:r>
      <w:r w:rsidRPr="00654FE6">
        <w:rPr>
          <w:rFonts w:ascii="Times New Roman" w:hAnsi="Times New Roman" w:cs="Times New Roman"/>
          <w:lang w:val="en-US"/>
        </w:rPr>
        <w:t xml:space="preserve"> and </w:t>
      </w:r>
      <w:r w:rsidRPr="00654FE6">
        <w:rPr>
          <w:rFonts w:ascii="Times New Roman" w:hAnsi="Times New Roman" w:cs="Times New Roman"/>
        </w:rPr>
        <w:t>γ</w:t>
      </w:r>
      <w:r w:rsidRPr="00654FE6">
        <w:rPr>
          <w:rFonts w:ascii="Times New Roman" w:hAnsi="Times New Roman" w:cs="Times New Roman"/>
          <w:lang w:val="en-US"/>
        </w:rPr>
        <w:t xml:space="preserve"> diversity. Ecol. Lett. 3, 73–76 (2000). doi:10.1046/j.1461-0248.200000127.x.</w:t>
      </w:r>
    </w:p>
    <w:p w14:paraId="72E9F19A" w14:textId="77777777" w:rsidR="008A7FAD" w:rsidRPr="00654FE6" w:rsidRDefault="008A7FAD" w:rsidP="00691728">
      <w:pPr>
        <w:pStyle w:val="ds-markdown-paragraph"/>
        <w:spacing w:after="0" w:line="360" w:lineRule="auto"/>
        <w:ind w:left="360" w:hanging="360"/>
        <w:jc w:val="both"/>
        <w:rPr>
          <w:lang w:val="en-US"/>
        </w:rPr>
      </w:pPr>
      <w:r w:rsidRPr="00654FE6">
        <w:rPr>
          <w:lang w:val="en-US"/>
        </w:rPr>
        <w:t>Ma, Q. Role of Nrf2 in oxidative stress and toxicity. Annu. Rev. Pharmacol. Toxicol. 53, 401–426 (2013). doi.org/10.1146/annurev-pharmtox-011112-140320.</w:t>
      </w:r>
    </w:p>
    <w:p w14:paraId="4C6AF54C" w14:textId="77777777" w:rsidR="00FD4489" w:rsidRPr="00654FE6" w:rsidRDefault="00FD4489" w:rsidP="00FD4489">
      <w:pPr>
        <w:spacing w:line="360" w:lineRule="auto"/>
        <w:ind w:left="567" w:hanging="567"/>
        <w:jc w:val="both"/>
        <w:rPr>
          <w:rFonts w:ascii="Times New Roman" w:hAnsi="Times New Roman" w:cs="Times New Roman"/>
          <w:lang w:val="en-US"/>
        </w:rPr>
      </w:pPr>
      <w:r w:rsidRPr="00654FE6">
        <w:rPr>
          <w:rFonts w:ascii="Times New Roman" w:hAnsi="Times New Roman" w:cs="Times New Roman"/>
          <w:lang w:val="en-US"/>
        </w:rPr>
        <w:t>McGill, B. J. Empirical evaluation of neutral theory. </w:t>
      </w:r>
      <w:r w:rsidRPr="00654FE6">
        <w:rPr>
          <w:rFonts w:ascii="Times New Roman" w:hAnsi="Times New Roman" w:cs="Times New Roman"/>
          <w:i/>
          <w:iCs/>
          <w:lang w:val="en-US"/>
        </w:rPr>
        <w:t>Ecology</w:t>
      </w:r>
      <w:r w:rsidRPr="00654FE6">
        <w:rPr>
          <w:rFonts w:ascii="Times New Roman" w:hAnsi="Times New Roman" w:cs="Times New Roman"/>
          <w:lang w:val="en-US"/>
        </w:rPr>
        <w:t> 84, 1519–1530 (2003). doi.org/10.1890/0012-9658(2006)87[1411:EEONT]2.0.CO;2.​</w:t>
      </w:r>
    </w:p>
    <w:p w14:paraId="6969B457" w14:textId="3FC75BBA" w:rsidR="00FD4489" w:rsidRPr="00654FE6" w:rsidRDefault="00FD4489" w:rsidP="00FD4489">
      <w:pPr>
        <w:spacing w:line="360" w:lineRule="auto"/>
        <w:ind w:left="567" w:hanging="567"/>
        <w:jc w:val="both"/>
        <w:rPr>
          <w:rFonts w:ascii="Times New Roman" w:hAnsi="Times New Roman" w:cs="Times New Roman"/>
          <w:lang w:val="en-US"/>
        </w:rPr>
      </w:pPr>
      <w:r w:rsidRPr="00654FE6">
        <w:rPr>
          <w:rFonts w:ascii="Times New Roman" w:hAnsi="Times New Roman" w:cs="Times New Roman"/>
          <w:lang w:val="en-US"/>
        </w:rPr>
        <w:t>McKenzie, S. B. &amp; Williams, J. L. </w:t>
      </w:r>
      <w:r w:rsidRPr="00654FE6">
        <w:rPr>
          <w:rFonts w:ascii="Times New Roman" w:hAnsi="Times New Roman" w:cs="Times New Roman"/>
          <w:i/>
          <w:iCs/>
          <w:lang w:val="en-US"/>
        </w:rPr>
        <w:t>Clinical Laboratory Hematology</w:t>
      </w:r>
      <w:r w:rsidRPr="00654FE6">
        <w:rPr>
          <w:rFonts w:ascii="Times New Roman" w:hAnsi="Times New Roman" w:cs="Times New Roman"/>
          <w:lang w:val="en-US"/>
        </w:rPr>
        <w:t>. 3rd edn. Pearson, Boston (2015)</w:t>
      </w:r>
    </w:p>
    <w:p w14:paraId="6B1DB0ED" w14:textId="271503B0" w:rsidR="008A7FAD" w:rsidRPr="0075057A" w:rsidRDefault="008A7FAD" w:rsidP="008A7FAD">
      <w:pPr>
        <w:pStyle w:val="ds-markdown-paragraph"/>
        <w:spacing w:after="0" w:line="360" w:lineRule="auto"/>
        <w:ind w:left="360" w:hanging="360"/>
        <w:jc w:val="both"/>
        <w:rPr>
          <w:lang w:val="en-US"/>
        </w:rPr>
      </w:pPr>
      <w:r w:rsidRPr="00654FE6">
        <w:rPr>
          <w:lang w:val="en-US"/>
        </w:rPr>
        <w:t>Manzon, R. G. The role of prolactin in fish osmoregulation: a review. Gen. Comp. Endocrinol. 125, 291–310 (2002). doi.org/10.1006/gcen.2001.7746</w:t>
      </w:r>
      <w:r w:rsidR="00616056" w:rsidRPr="00654FE6">
        <w:t>ю</w:t>
      </w:r>
    </w:p>
    <w:p w14:paraId="37329B06" w14:textId="4D133A82" w:rsidR="00616056" w:rsidRPr="00654FE6" w:rsidRDefault="00616056" w:rsidP="008A7FAD">
      <w:pPr>
        <w:pStyle w:val="ds-markdown-paragraph"/>
        <w:spacing w:after="0" w:line="360" w:lineRule="auto"/>
        <w:ind w:left="360" w:hanging="360"/>
        <w:jc w:val="both"/>
        <w:rPr>
          <w:lang w:val="en-US"/>
        </w:rPr>
      </w:pPr>
      <w:r w:rsidRPr="00654FE6">
        <w:rPr>
          <w:lang w:val="en-US"/>
        </w:rPr>
        <w:t>Mittelbach, G. G. et al. What is the observed relationship between species richness and productivity? Ecology 82, 2381–2396 (2001). doi.org/10.2307/2679922</w:t>
      </w:r>
      <w:r w:rsidRPr="00654FE6">
        <w:t>ю</w:t>
      </w:r>
    </w:p>
    <w:p w14:paraId="13E69A8F" w14:textId="0E2E0973" w:rsidR="008A7FAD" w:rsidRPr="00654FE6" w:rsidRDefault="008A7FAD" w:rsidP="00691728">
      <w:pPr>
        <w:pStyle w:val="ds-markdown-paragraph"/>
        <w:spacing w:after="0" w:line="360" w:lineRule="auto"/>
        <w:ind w:left="360" w:hanging="360"/>
        <w:jc w:val="both"/>
        <w:rPr>
          <w:lang w:val="en-US"/>
        </w:rPr>
      </w:pPr>
      <w:r w:rsidRPr="00654FE6">
        <w:rPr>
          <w:lang w:val="en-US"/>
        </w:rPr>
        <w:t>Morgan, D. O. The Cell Cycle: Principles of Control. (New Science Press, 2007).</w:t>
      </w:r>
    </w:p>
    <w:p w14:paraId="788B2927" w14:textId="77777777" w:rsidR="00FB28F1" w:rsidRPr="00654FE6" w:rsidRDefault="00FB28F1" w:rsidP="00F52781">
      <w:pPr>
        <w:spacing w:line="360" w:lineRule="auto"/>
        <w:ind w:left="567" w:hanging="567"/>
        <w:jc w:val="both"/>
        <w:rPr>
          <w:rFonts w:ascii="Times New Roman" w:hAnsi="Times New Roman" w:cs="Times New Roman"/>
          <w:lang w:val="en-US"/>
        </w:rPr>
      </w:pPr>
      <w:r w:rsidRPr="00654FE6">
        <w:rPr>
          <w:rFonts w:ascii="Times New Roman" w:hAnsi="Times New Roman" w:cs="Times New Roman"/>
          <w:lang w:val="en-US"/>
        </w:rPr>
        <w:t>Oberdorff, T. et al. Global and regional patterns in riverine fish species richness: a review. Freshw. Biol. 42, 567–579 (1999). doi:10.1155/2011/967631​.</w:t>
      </w:r>
    </w:p>
    <w:p w14:paraId="4C0A9B34" w14:textId="77777777" w:rsidR="008A7FAD" w:rsidRPr="00654FE6" w:rsidRDefault="008A7FAD" w:rsidP="00691728">
      <w:pPr>
        <w:pStyle w:val="ds-markdown-paragraph"/>
        <w:spacing w:after="0" w:line="360" w:lineRule="auto"/>
        <w:ind w:left="360" w:hanging="360"/>
        <w:jc w:val="both"/>
        <w:rPr>
          <w:lang w:val="en-US"/>
        </w:rPr>
      </w:pPr>
      <w:r w:rsidRPr="00654FE6">
        <w:rPr>
          <w:lang w:val="en-US"/>
        </w:rPr>
        <w:t>Omidvar, R., Sipos, M., &amp; Farzad, R. (2024). Fish Fillet: White Versus Red, Structure and Nutritional Composition: FSHN23-4/FS454, 01/2024. </w:t>
      </w:r>
      <w:r w:rsidRPr="00654FE6">
        <w:rPr>
          <w:i/>
          <w:iCs/>
          <w:lang w:val="en-US"/>
        </w:rPr>
        <w:t>EDIS</w:t>
      </w:r>
      <w:r w:rsidRPr="00654FE6">
        <w:rPr>
          <w:lang w:val="en-US"/>
        </w:rPr>
        <w:t>, </w:t>
      </w:r>
      <w:r w:rsidRPr="00654FE6">
        <w:rPr>
          <w:i/>
          <w:iCs/>
          <w:lang w:val="en-US"/>
        </w:rPr>
        <w:t>2024</w:t>
      </w:r>
      <w:r w:rsidRPr="00654FE6">
        <w:rPr>
          <w:lang w:val="en-US"/>
        </w:rPr>
        <w:t>(1).</w:t>
      </w:r>
    </w:p>
    <w:p w14:paraId="4CBC36A9" w14:textId="77777777" w:rsidR="00644599" w:rsidRPr="00654FE6" w:rsidRDefault="00644599" w:rsidP="00691728">
      <w:pPr>
        <w:pStyle w:val="ds-markdown-paragraph"/>
        <w:spacing w:after="0" w:line="360" w:lineRule="auto"/>
        <w:ind w:left="360" w:hanging="360"/>
        <w:jc w:val="both"/>
        <w:rPr>
          <w:lang w:val="en-US"/>
        </w:rPr>
      </w:pPr>
      <w:r w:rsidRPr="00654FE6">
        <w:rPr>
          <w:lang w:val="en-US"/>
        </w:rPr>
        <w:t>Prosser, C. L. </w:t>
      </w:r>
      <w:r w:rsidRPr="00654FE6">
        <w:rPr>
          <w:i/>
          <w:iCs/>
          <w:lang w:val="en-US"/>
        </w:rPr>
        <w:t>Comparative Animal Physiology</w:t>
      </w:r>
      <w:r w:rsidRPr="00654FE6">
        <w:rPr>
          <w:lang w:val="en-US"/>
        </w:rPr>
        <w:t>. W. B. Saunders, Philadelphia &amp; London (1950).</w:t>
      </w:r>
    </w:p>
    <w:p w14:paraId="10C9C955" w14:textId="283D76B5" w:rsidR="00616056" w:rsidRPr="00654FE6" w:rsidRDefault="00616056" w:rsidP="00691728">
      <w:pPr>
        <w:pStyle w:val="ds-markdown-paragraph"/>
        <w:spacing w:after="0" w:line="360" w:lineRule="auto"/>
        <w:ind w:left="360" w:hanging="360"/>
        <w:jc w:val="both"/>
        <w:rPr>
          <w:lang w:val="en-US"/>
        </w:rPr>
      </w:pPr>
      <w:r w:rsidRPr="00654FE6">
        <w:rPr>
          <w:lang w:val="en-US"/>
        </w:rPr>
        <w:t>Ricker, W. E. Stock and recruitment. J. Fish. Res. Board Can. 11, 559–623 (1954). doi.org/10.1139/f54-039</w:t>
      </w:r>
    </w:p>
    <w:p w14:paraId="2E367074" w14:textId="56A32B2D" w:rsidR="008A7FAD" w:rsidRPr="00654FE6" w:rsidRDefault="00A265B9" w:rsidP="00691728">
      <w:pPr>
        <w:pStyle w:val="ds-markdown-paragraph"/>
        <w:spacing w:after="0" w:line="360" w:lineRule="auto"/>
        <w:ind w:left="360" w:hanging="360"/>
        <w:jc w:val="both"/>
        <w:rPr>
          <w:lang w:val="en-US"/>
        </w:rPr>
      </w:pPr>
      <w:r w:rsidRPr="00654FE6">
        <w:rPr>
          <w:lang w:val="en-US"/>
        </w:rPr>
        <w:t>Rome, L. C. (1990). Influence of temperature on muscle recruitment and muscle function in vivo. American Journal of Physiology-Regulatory, Integrative and Comparative Physiology, 259(2), R210-R222. doi.org/10.1152/ajpregu.1990.259.2.R210</w:t>
      </w:r>
    </w:p>
    <w:p w14:paraId="2294F546" w14:textId="77777777" w:rsidR="009B3448" w:rsidRPr="00654FE6" w:rsidRDefault="009B3448" w:rsidP="009B3448">
      <w:pPr>
        <w:spacing w:line="360" w:lineRule="auto"/>
        <w:ind w:left="567" w:hanging="567"/>
        <w:jc w:val="both"/>
        <w:rPr>
          <w:rFonts w:ascii="Times New Roman" w:hAnsi="Times New Roman" w:cs="Times New Roman"/>
          <w:lang w:val="en-US"/>
        </w:rPr>
      </w:pPr>
      <w:r w:rsidRPr="00654FE6">
        <w:rPr>
          <w:rFonts w:ascii="Times New Roman" w:hAnsi="Times New Roman" w:cs="Times New Roman"/>
          <w:lang w:val="en-US"/>
        </w:rPr>
        <w:t>Rose, K. A. et al. Compensatory density dependence in fish populations: a synthesis. Fish Fish. 2, 293–327 (2001). doi.org/10.1046/j.1467-2960.2001.00056.x</w:t>
      </w:r>
    </w:p>
    <w:p w14:paraId="7984E4C9" w14:textId="15CE3503" w:rsidR="008A7FAD" w:rsidRPr="00654FE6" w:rsidRDefault="008A7FAD" w:rsidP="00691728">
      <w:pPr>
        <w:pStyle w:val="ds-markdown-paragraph"/>
        <w:spacing w:before="0" w:after="0" w:line="360" w:lineRule="auto"/>
        <w:ind w:left="360" w:hanging="360"/>
        <w:jc w:val="both"/>
        <w:rPr>
          <w:lang w:val="en-US"/>
        </w:rPr>
      </w:pPr>
      <w:r w:rsidRPr="00654FE6">
        <w:rPr>
          <w:lang w:val="en-US"/>
        </w:rPr>
        <w:t xml:space="preserve">Sakai, A. K. et al. The population biology of invasive species. Annu. Rev. Ecol. Syst. 32, 305–332 (2001). </w:t>
      </w:r>
      <w:r w:rsidR="00A265B9" w:rsidRPr="00654FE6">
        <w:rPr>
          <w:lang w:val="en-US"/>
        </w:rPr>
        <w:t>doi.org/10.1146/annurev.ecolsys.32.081501.114037.</w:t>
      </w:r>
    </w:p>
    <w:p w14:paraId="5642E796" w14:textId="77777777" w:rsidR="00B241B2" w:rsidRPr="00654FE6" w:rsidRDefault="00B241B2" w:rsidP="00B241B2">
      <w:pPr>
        <w:spacing w:line="360" w:lineRule="auto"/>
        <w:ind w:left="567" w:hanging="567"/>
        <w:jc w:val="both"/>
        <w:rPr>
          <w:rFonts w:ascii="Times New Roman" w:hAnsi="Times New Roman" w:cs="Times New Roman"/>
          <w:lang w:val="en-US"/>
        </w:rPr>
      </w:pPr>
      <w:r w:rsidRPr="00654FE6">
        <w:rPr>
          <w:rFonts w:ascii="Times New Roman" w:hAnsi="Times New Roman" w:cs="Times New Roman"/>
          <w:lang w:val="en-US"/>
        </w:rPr>
        <w:t>Scheffer, M. et al. Catastrophic shifts in ecosystems. Nature 413, 591–596 (2001). doi.org/10.1038/35098000.​</w:t>
      </w:r>
    </w:p>
    <w:p w14:paraId="5648D861" w14:textId="0126D9BC" w:rsidR="00DE1152" w:rsidRPr="00654FE6" w:rsidRDefault="00DE1152" w:rsidP="00B241B2">
      <w:pPr>
        <w:spacing w:line="360" w:lineRule="auto"/>
        <w:ind w:left="567" w:hanging="567"/>
        <w:jc w:val="both"/>
        <w:rPr>
          <w:rFonts w:ascii="Times New Roman" w:hAnsi="Times New Roman" w:cs="Times New Roman"/>
          <w:lang w:val="en-US"/>
        </w:rPr>
      </w:pPr>
      <w:r w:rsidRPr="00654FE6">
        <w:rPr>
          <w:rFonts w:ascii="Times New Roman" w:hAnsi="Times New Roman" w:cs="Times New Roman"/>
          <w:lang w:val="en-US"/>
        </w:rPr>
        <w:t>Schmidt-Nielsen, K. </w:t>
      </w:r>
      <w:r w:rsidRPr="00654FE6">
        <w:rPr>
          <w:rFonts w:ascii="Times New Roman" w:hAnsi="Times New Roman" w:cs="Times New Roman"/>
          <w:i/>
          <w:iCs/>
          <w:lang w:val="en-US"/>
        </w:rPr>
        <w:t>Animal Physiology: Adaptation and Environment</w:t>
      </w:r>
      <w:r w:rsidRPr="00654FE6">
        <w:rPr>
          <w:rFonts w:ascii="Times New Roman" w:hAnsi="Times New Roman" w:cs="Times New Roman"/>
          <w:lang w:val="en-US"/>
        </w:rPr>
        <w:t>. 5th edn. Cambridge University Press, Cambridge (1997)</w:t>
      </w:r>
    </w:p>
    <w:p w14:paraId="7A49DA44" w14:textId="1ECA6F79" w:rsidR="008A7FAD" w:rsidRPr="00654FE6" w:rsidRDefault="0012175C" w:rsidP="00691728">
      <w:pPr>
        <w:pStyle w:val="ds-markdown-paragraph"/>
        <w:spacing w:after="0" w:line="360" w:lineRule="auto"/>
        <w:ind w:left="360" w:hanging="360"/>
        <w:jc w:val="both"/>
        <w:rPr>
          <w:lang w:val="en-US"/>
        </w:rPr>
      </w:pPr>
      <w:r w:rsidRPr="00654FE6">
        <w:rPr>
          <w:lang w:val="en-US"/>
        </w:rPr>
        <w:t>Stearns, S. C. (1998). The evolution of life histories. Oxford university press.</w:t>
      </w:r>
    </w:p>
    <w:p w14:paraId="16C02C1B" w14:textId="77777777" w:rsidR="005C09C2" w:rsidRPr="00654FE6" w:rsidRDefault="005C09C2" w:rsidP="005C09C2">
      <w:pPr>
        <w:spacing w:line="360" w:lineRule="auto"/>
        <w:ind w:left="567" w:hanging="567"/>
        <w:jc w:val="both"/>
        <w:rPr>
          <w:rFonts w:ascii="Times New Roman" w:hAnsi="Times New Roman" w:cs="Times New Roman"/>
          <w:lang w:val="en-US"/>
        </w:rPr>
      </w:pPr>
      <w:r w:rsidRPr="00654FE6">
        <w:rPr>
          <w:rFonts w:ascii="Times New Roman" w:hAnsi="Times New Roman" w:cs="Times New Roman"/>
          <w:lang w:val="en-US"/>
        </w:rPr>
        <w:t>Sterling, P. Allostasis: a model of predictive regulation. Physiol. Behav. 106, 5–15 (2012). doi.org/10.1016/j.physbeh.2011.06.004</w:t>
      </w:r>
    </w:p>
    <w:p w14:paraId="5E23EB43" w14:textId="77777777" w:rsidR="008A7FAD" w:rsidRPr="00654FE6" w:rsidRDefault="008A7FAD" w:rsidP="008A7FAD">
      <w:pPr>
        <w:pStyle w:val="ds-markdown-paragraph"/>
        <w:spacing w:after="0" w:line="360" w:lineRule="auto"/>
        <w:ind w:left="360" w:hanging="360"/>
        <w:jc w:val="both"/>
        <w:rPr>
          <w:lang w:val="en-US"/>
        </w:rPr>
      </w:pPr>
      <w:r w:rsidRPr="00654FE6">
        <w:rPr>
          <w:lang w:val="en-US"/>
        </w:rPr>
        <w:t>Sterner, R. W. &amp; Elser, J. J. Ecological Stoichiometry: The Biology of Elements from Molecules to the Biosphere. (Princeton Univ. Press, 2002). doi.org/10.1515/9781400885695</w:t>
      </w:r>
    </w:p>
    <w:p w14:paraId="5EF9D6DA" w14:textId="77777777" w:rsidR="00616056" w:rsidRPr="00654FE6" w:rsidRDefault="00616056" w:rsidP="00616056">
      <w:pPr>
        <w:spacing w:line="360" w:lineRule="auto"/>
        <w:ind w:left="567" w:hanging="567"/>
        <w:jc w:val="both"/>
        <w:rPr>
          <w:rFonts w:ascii="Times New Roman" w:hAnsi="Times New Roman" w:cs="Times New Roman"/>
          <w:lang w:val="en-US"/>
        </w:rPr>
      </w:pPr>
      <w:r w:rsidRPr="00654FE6">
        <w:rPr>
          <w:rFonts w:ascii="Times New Roman" w:hAnsi="Times New Roman" w:cs="Times New Roman"/>
          <w:lang w:val="en-US"/>
        </w:rPr>
        <w:t>Tilman, D. &amp; Pacala, S. The maintenance of species richness in plant communities. In: Species Diversity in Ecological Communities (eds. Ricklefs, R. E. &amp; Schluter, D.). Univ. Chicago Press, 13–25 (1993).​</w:t>
      </w:r>
    </w:p>
    <w:p w14:paraId="7E476E97" w14:textId="77777777" w:rsidR="008A7FAD" w:rsidRPr="00654FE6" w:rsidRDefault="008A7FAD" w:rsidP="00691728">
      <w:pPr>
        <w:pStyle w:val="ds-markdown-paragraph"/>
        <w:spacing w:after="0" w:line="360" w:lineRule="auto"/>
        <w:ind w:left="360" w:hanging="360"/>
        <w:jc w:val="both"/>
        <w:rPr>
          <w:lang w:val="en-US"/>
        </w:rPr>
      </w:pPr>
      <w:r w:rsidRPr="00654FE6">
        <w:rPr>
          <w:lang w:val="en-US"/>
        </w:rPr>
        <w:t>Weibel, E. R. The Pathway for Oxygen: Structure and Function in the Mammalian Respiratory System. (Harvard Univ. Press, 1984).</w:t>
      </w:r>
    </w:p>
    <w:p w14:paraId="613CD6FD" w14:textId="77777777" w:rsidR="009B3448" w:rsidRPr="00654FE6" w:rsidRDefault="009B3448" w:rsidP="009B3448">
      <w:pPr>
        <w:spacing w:line="360" w:lineRule="auto"/>
        <w:ind w:left="426" w:hanging="426"/>
        <w:jc w:val="both"/>
        <w:rPr>
          <w:rFonts w:ascii="Times New Roman" w:hAnsi="Times New Roman" w:cs="Times New Roman"/>
          <w:lang w:val="en-US"/>
        </w:rPr>
      </w:pPr>
      <w:r w:rsidRPr="00654FE6">
        <w:rPr>
          <w:rFonts w:ascii="Times New Roman" w:hAnsi="Times New Roman" w:cs="Times New Roman"/>
          <w:lang w:val="en-US"/>
        </w:rPr>
        <w:t>West, G. B., Brown, J. H. &amp; Enquist, B. J. A general model for ontogenetic growth. Nature 413, 628–631 (2001). doi.org/10.1038/35098076.</w:t>
      </w:r>
    </w:p>
    <w:p w14:paraId="09C3F588" w14:textId="5E583DF0" w:rsidR="003B5316" w:rsidRPr="00654FE6" w:rsidRDefault="00644599" w:rsidP="008A7FAD">
      <w:pPr>
        <w:pStyle w:val="ds-markdown-paragraph"/>
        <w:spacing w:after="0" w:line="360" w:lineRule="auto"/>
        <w:ind w:left="360" w:hanging="360"/>
        <w:jc w:val="both"/>
        <w:rPr>
          <w:lang w:val="en-US"/>
        </w:rPr>
      </w:pPr>
      <w:r w:rsidRPr="00654FE6">
        <w:rPr>
          <w:lang w:val="en-US"/>
        </w:rPr>
        <w:t>Wootton, R. J. </w:t>
      </w:r>
      <w:r w:rsidRPr="00654FE6">
        <w:rPr>
          <w:i/>
          <w:iCs/>
          <w:lang w:val="en-US"/>
        </w:rPr>
        <w:t>Ecology of Teleost Fishes</w:t>
      </w:r>
      <w:r w:rsidRPr="00654FE6">
        <w:rPr>
          <w:lang w:val="en-US"/>
        </w:rPr>
        <w:t>. 2nd edn. Kluwer Academic Publishers, Dordrecht (1998).</w:t>
      </w:r>
      <w:r w:rsidR="003B5316" w:rsidRPr="00654FE6">
        <w:rPr>
          <w:lang w:val="en-US"/>
        </w:rPr>
        <w:t>.</w:t>
      </w:r>
    </w:p>
    <w:p w14:paraId="0434E6BB" w14:textId="43B4CA5C" w:rsidR="008A7FAD" w:rsidRPr="00654FE6" w:rsidRDefault="008A7FAD" w:rsidP="008A7FAD">
      <w:pPr>
        <w:pStyle w:val="ds-markdown-paragraph"/>
        <w:spacing w:after="0" w:line="360" w:lineRule="auto"/>
        <w:ind w:left="360" w:hanging="360"/>
        <w:jc w:val="both"/>
        <w:rPr>
          <w:lang w:val="en-US"/>
        </w:rPr>
      </w:pPr>
      <w:r w:rsidRPr="00654FE6">
        <w:rPr>
          <w:lang w:val="en-US"/>
        </w:rPr>
        <w:t>Wendelaar Bonga, S. E. The stress response in fish. Physiol. Rev. 77, 591–625 (1997). doi.org/10.1152/physrev.1997.77.3.591</w:t>
      </w:r>
    </w:p>
    <w:p w14:paraId="65057DF4" w14:textId="77777777" w:rsidR="008A7FAD" w:rsidRPr="00654FE6" w:rsidRDefault="008A7FAD" w:rsidP="008A7FAD">
      <w:pPr>
        <w:pStyle w:val="ds-markdown-paragraph"/>
        <w:spacing w:after="0" w:line="360" w:lineRule="auto"/>
        <w:ind w:left="360" w:hanging="360"/>
        <w:jc w:val="both"/>
        <w:rPr>
          <w:lang w:val="en-US"/>
        </w:rPr>
      </w:pPr>
      <w:r w:rsidRPr="00654FE6">
        <w:rPr>
          <w:lang w:val="en-US"/>
        </w:rPr>
        <w:t>Xu, C., Li, C. Y.-T. &amp; Kong, A.-N. T. Induction of phase I, II and III drug metabolism/transport by xenobiotics. Arch. Pharm. Res. 28, 249–268 (2005). doi.org/10.1007/BF02977789</w:t>
      </w:r>
    </w:p>
    <w:p w14:paraId="35E9E3EC" w14:textId="7AA0D354" w:rsidR="008A7FAD" w:rsidRPr="00654FE6" w:rsidRDefault="008A7FAD" w:rsidP="00E521C4">
      <w:pPr>
        <w:pStyle w:val="ds-markdown-paragraph"/>
        <w:spacing w:before="0" w:after="0" w:line="360" w:lineRule="auto"/>
        <w:ind w:left="360" w:hanging="360"/>
        <w:jc w:val="both"/>
        <w:rPr>
          <w:lang w:val="en-US"/>
        </w:rPr>
      </w:pPr>
      <w:r w:rsidRPr="00654FE6">
        <w:rPr>
          <w:lang w:val="en-US"/>
        </w:rPr>
        <w:t>Yang, H. et al. Protein conformational ensembles in function: roles and mechanisms. Trends Biochem. Sci. 48, 789–804 (2023).​</w:t>
      </w:r>
      <w:r w:rsidR="002C3210" w:rsidRPr="00654FE6">
        <w:rPr>
          <w:lang w:val="en-US"/>
        </w:rPr>
        <w:t xml:space="preserve"> doi.org/10.1039/D3CB00114H</w:t>
      </w:r>
    </w:p>
    <w:p w14:paraId="3CCD7BCA" w14:textId="41DCA66A" w:rsidR="000A6D9B" w:rsidRPr="00654FE6" w:rsidRDefault="008A7FAD" w:rsidP="00E70E05">
      <w:pPr>
        <w:pStyle w:val="ds-markdown-paragraph"/>
        <w:spacing w:before="0" w:after="0" w:line="360" w:lineRule="auto"/>
        <w:ind w:left="360" w:hanging="360"/>
        <w:jc w:val="both"/>
        <w:rPr>
          <w:lang w:val="en-US"/>
        </w:rPr>
      </w:pPr>
      <w:r w:rsidRPr="00654FE6">
        <w:rPr>
          <w:lang w:val="en-US"/>
        </w:rPr>
        <w:t>Zamponi, N., Zamponi, E., Cannas, S. A., Billoni, O. V., Helguera, P. R., &amp; Chialvo, D. R. (2018). Mitochondrial network complexity emerges from fission/fusion dynamics. </w:t>
      </w:r>
      <w:r w:rsidRPr="00654FE6">
        <w:rPr>
          <w:i/>
          <w:iCs/>
          <w:lang w:val="en-US"/>
        </w:rPr>
        <w:t>Scientific reports</w:t>
      </w:r>
      <w:r w:rsidRPr="00654FE6">
        <w:rPr>
          <w:lang w:val="en-US"/>
        </w:rPr>
        <w:t>, </w:t>
      </w:r>
      <w:r w:rsidRPr="00654FE6">
        <w:rPr>
          <w:i/>
          <w:iCs/>
          <w:lang w:val="en-US"/>
        </w:rPr>
        <w:t>8</w:t>
      </w:r>
      <w:r w:rsidRPr="00654FE6">
        <w:rPr>
          <w:lang w:val="en-US"/>
        </w:rPr>
        <w:t>(1), 1-10.</w:t>
      </w:r>
      <w:bookmarkEnd w:id="1"/>
    </w:p>
    <w:p w14:paraId="67AA78B1" w14:textId="77777777" w:rsidR="00B25695" w:rsidRPr="00654FE6" w:rsidRDefault="00B25695" w:rsidP="00D1364E">
      <w:pPr>
        <w:rPr>
          <w:lang w:val="en-US"/>
        </w:rPr>
      </w:pPr>
    </w:p>
    <w:p w14:paraId="3EE910F0" w14:textId="77777777" w:rsidR="0007755C" w:rsidRPr="00654FE6" w:rsidRDefault="0007755C">
      <w:pPr>
        <w:rPr>
          <w:lang w:val="en-US"/>
        </w:rPr>
      </w:pPr>
    </w:p>
    <w:sectPr w:rsidR="0007755C" w:rsidRPr="00654FE6">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46729" w14:textId="77777777" w:rsidR="001C2AF4" w:rsidRDefault="001C2AF4" w:rsidP="001C2AF4">
      <w:pPr>
        <w:spacing w:after="0" w:line="240" w:lineRule="auto"/>
      </w:pPr>
      <w:r>
        <w:separator/>
      </w:r>
    </w:p>
  </w:endnote>
  <w:endnote w:type="continuationSeparator" w:id="0">
    <w:p w14:paraId="76809A80" w14:textId="77777777" w:rsidR="001C2AF4" w:rsidRDefault="001C2AF4" w:rsidP="001C2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033522"/>
      <w:docPartObj>
        <w:docPartGallery w:val="Page Numbers (Bottom of Page)"/>
        <w:docPartUnique/>
      </w:docPartObj>
    </w:sdtPr>
    <w:sdtEndPr/>
    <w:sdtContent>
      <w:p w14:paraId="40BFB333" w14:textId="65E2C4B7" w:rsidR="001C2AF4" w:rsidRDefault="001C2AF4">
        <w:pPr>
          <w:pStyle w:val="ae"/>
          <w:jc w:val="center"/>
        </w:pPr>
        <w:r>
          <w:fldChar w:fldCharType="begin"/>
        </w:r>
        <w:r>
          <w:instrText>PAGE   \* MERGEFORMAT</w:instrText>
        </w:r>
        <w:r>
          <w:fldChar w:fldCharType="separate"/>
        </w:r>
        <w:r>
          <w:t>2</w:t>
        </w:r>
        <w:r>
          <w:fldChar w:fldCharType="end"/>
        </w:r>
      </w:p>
    </w:sdtContent>
  </w:sdt>
  <w:p w14:paraId="22704167" w14:textId="77777777" w:rsidR="001C2AF4" w:rsidRDefault="001C2AF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43C78" w14:textId="77777777" w:rsidR="001C2AF4" w:rsidRDefault="001C2AF4" w:rsidP="001C2AF4">
      <w:pPr>
        <w:spacing w:after="0" w:line="240" w:lineRule="auto"/>
      </w:pPr>
      <w:r>
        <w:separator/>
      </w:r>
    </w:p>
  </w:footnote>
  <w:footnote w:type="continuationSeparator" w:id="0">
    <w:p w14:paraId="4B5094B0" w14:textId="77777777" w:rsidR="001C2AF4" w:rsidRDefault="001C2AF4" w:rsidP="001C2A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5962"/>
    <w:multiLevelType w:val="multilevel"/>
    <w:tmpl w:val="8EE6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BD0A1A"/>
    <w:multiLevelType w:val="hybridMultilevel"/>
    <w:tmpl w:val="6726AE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A95E25"/>
    <w:multiLevelType w:val="multilevel"/>
    <w:tmpl w:val="167C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2700832">
    <w:abstractNumId w:val="0"/>
  </w:num>
  <w:num w:numId="2" w16cid:durableId="975718472">
    <w:abstractNumId w:val="2"/>
  </w:num>
  <w:num w:numId="3" w16cid:durableId="1318418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0D9"/>
    <w:rsid w:val="0006774B"/>
    <w:rsid w:val="0007755C"/>
    <w:rsid w:val="0008231A"/>
    <w:rsid w:val="000A6D9B"/>
    <w:rsid w:val="000C2AAF"/>
    <w:rsid w:val="000F676B"/>
    <w:rsid w:val="0012175C"/>
    <w:rsid w:val="0012761E"/>
    <w:rsid w:val="001343D5"/>
    <w:rsid w:val="00166E52"/>
    <w:rsid w:val="00184DDC"/>
    <w:rsid w:val="001C2AF4"/>
    <w:rsid w:val="001D66F5"/>
    <w:rsid w:val="002474F3"/>
    <w:rsid w:val="00297397"/>
    <w:rsid w:val="002A2779"/>
    <w:rsid w:val="002C3210"/>
    <w:rsid w:val="00395E0E"/>
    <w:rsid w:val="003B20D9"/>
    <w:rsid w:val="003B5316"/>
    <w:rsid w:val="003C1A3F"/>
    <w:rsid w:val="003F597B"/>
    <w:rsid w:val="00442C6B"/>
    <w:rsid w:val="00461DAC"/>
    <w:rsid w:val="004B319D"/>
    <w:rsid w:val="004F59A6"/>
    <w:rsid w:val="005554D8"/>
    <w:rsid w:val="005870A6"/>
    <w:rsid w:val="005A043C"/>
    <w:rsid w:val="005A2D51"/>
    <w:rsid w:val="005C09C2"/>
    <w:rsid w:val="005D0D5D"/>
    <w:rsid w:val="006104CB"/>
    <w:rsid w:val="00612408"/>
    <w:rsid w:val="00616056"/>
    <w:rsid w:val="00635F2B"/>
    <w:rsid w:val="00644599"/>
    <w:rsid w:val="00654FE6"/>
    <w:rsid w:val="00670686"/>
    <w:rsid w:val="00691728"/>
    <w:rsid w:val="0075057A"/>
    <w:rsid w:val="0075168B"/>
    <w:rsid w:val="00781C55"/>
    <w:rsid w:val="00785C1A"/>
    <w:rsid w:val="007B293E"/>
    <w:rsid w:val="008212AD"/>
    <w:rsid w:val="0089214F"/>
    <w:rsid w:val="008A7FAD"/>
    <w:rsid w:val="008B112D"/>
    <w:rsid w:val="008B344E"/>
    <w:rsid w:val="008F6E7C"/>
    <w:rsid w:val="009306A4"/>
    <w:rsid w:val="0096342B"/>
    <w:rsid w:val="00967A92"/>
    <w:rsid w:val="009B3448"/>
    <w:rsid w:val="00A00C8E"/>
    <w:rsid w:val="00A14E57"/>
    <w:rsid w:val="00A265B9"/>
    <w:rsid w:val="00A52006"/>
    <w:rsid w:val="00A67F70"/>
    <w:rsid w:val="00A7203B"/>
    <w:rsid w:val="00A77E6F"/>
    <w:rsid w:val="00AA5F52"/>
    <w:rsid w:val="00AE182B"/>
    <w:rsid w:val="00B241B2"/>
    <w:rsid w:val="00B25695"/>
    <w:rsid w:val="00B86502"/>
    <w:rsid w:val="00BE2889"/>
    <w:rsid w:val="00C13F97"/>
    <w:rsid w:val="00C177D2"/>
    <w:rsid w:val="00CE740B"/>
    <w:rsid w:val="00CF1785"/>
    <w:rsid w:val="00D1364E"/>
    <w:rsid w:val="00D845DE"/>
    <w:rsid w:val="00DA0144"/>
    <w:rsid w:val="00DE1152"/>
    <w:rsid w:val="00DF0783"/>
    <w:rsid w:val="00E43E66"/>
    <w:rsid w:val="00E521C4"/>
    <w:rsid w:val="00E70E05"/>
    <w:rsid w:val="00E758AE"/>
    <w:rsid w:val="00F16AB9"/>
    <w:rsid w:val="00F17CC7"/>
    <w:rsid w:val="00F246BA"/>
    <w:rsid w:val="00F3487F"/>
    <w:rsid w:val="00F52781"/>
    <w:rsid w:val="00FB28F1"/>
    <w:rsid w:val="00FC7625"/>
    <w:rsid w:val="00FD44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B56DB"/>
  <w15:chartTrackingRefBased/>
  <w15:docId w15:val="{2C3CCCC3-D3E6-4933-9579-679F35434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B2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B2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B20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B20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B20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B20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B20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B20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B20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20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B20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B20D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B20D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B20D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B20D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B20D9"/>
    <w:rPr>
      <w:rFonts w:eastAsiaTheme="majorEastAsia" w:cstheme="majorBidi"/>
      <w:color w:val="595959" w:themeColor="text1" w:themeTint="A6"/>
    </w:rPr>
  </w:style>
  <w:style w:type="character" w:customStyle="1" w:styleId="80">
    <w:name w:val="Заголовок 8 Знак"/>
    <w:basedOn w:val="a0"/>
    <w:link w:val="8"/>
    <w:uiPriority w:val="9"/>
    <w:semiHidden/>
    <w:rsid w:val="003B20D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B20D9"/>
    <w:rPr>
      <w:rFonts w:eastAsiaTheme="majorEastAsia" w:cstheme="majorBidi"/>
      <w:color w:val="272727" w:themeColor="text1" w:themeTint="D8"/>
    </w:rPr>
  </w:style>
  <w:style w:type="paragraph" w:styleId="a3">
    <w:name w:val="Title"/>
    <w:basedOn w:val="a"/>
    <w:next w:val="a"/>
    <w:link w:val="a4"/>
    <w:uiPriority w:val="10"/>
    <w:qFormat/>
    <w:rsid w:val="003B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B20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20D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B20D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B20D9"/>
    <w:pPr>
      <w:spacing w:before="160"/>
      <w:jc w:val="center"/>
    </w:pPr>
    <w:rPr>
      <w:i/>
      <w:iCs/>
      <w:color w:val="404040" w:themeColor="text1" w:themeTint="BF"/>
    </w:rPr>
  </w:style>
  <w:style w:type="character" w:customStyle="1" w:styleId="22">
    <w:name w:val="Цитата 2 Знак"/>
    <w:basedOn w:val="a0"/>
    <w:link w:val="21"/>
    <w:uiPriority w:val="29"/>
    <w:rsid w:val="003B20D9"/>
    <w:rPr>
      <w:i/>
      <w:iCs/>
      <w:color w:val="404040" w:themeColor="text1" w:themeTint="BF"/>
    </w:rPr>
  </w:style>
  <w:style w:type="paragraph" w:styleId="a7">
    <w:name w:val="List Paragraph"/>
    <w:basedOn w:val="a"/>
    <w:uiPriority w:val="34"/>
    <w:qFormat/>
    <w:rsid w:val="003B20D9"/>
    <w:pPr>
      <w:ind w:left="720"/>
      <w:contextualSpacing/>
    </w:pPr>
  </w:style>
  <w:style w:type="character" w:styleId="a8">
    <w:name w:val="Intense Emphasis"/>
    <w:basedOn w:val="a0"/>
    <w:uiPriority w:val="21"/>
    <w:qFormat/>
    <w:rsid w:val="003B20D9"/>
    <w:rPr>
      <w:i/>
      <w:iCs/>
      <w:color w:val="0F4761" w:themeColor="accent1" w:themeShade="BF"/>
    </w:rPr>
  </w:style>
  <w:style w:type="paragraph" w:styleId="a9">
    <w:name w:val="Intense Quote"/>
    <w:basedOn w:val="a"/>
    <w:next w:val="a"/>
    <w:link w:val="aa"/>
    <w:uiPriority w:val="30"/>
    <w:qFormat/>
    <w:rsid w:val="003B2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B20D9"/>
    <w:rPr>
      <w:i/>
      <w:iCs/>
      <w:color w:val="0F4761" w:themeColor="accent1" w:themeShade="BF"/>
    </w:rPr>
  </w:style>
  <w:style w:type="character" w:styleId="ab">
    <w:name w:val="Intense Reference"/>
    <w:basedOn w:val="a0"/>
    <w:uiPriority w:val="32"/>
    <w:qFormat/>
    <w:rsid w:val="003B20D9"/>
    <w:rPr>
      <w:b/>
      <w:bCs/>
      <w:smallCaps/>
      <w:color w:val="0F4761" w:themeColor="accent1" w:themeShade="BF"/>
      <w:spacing w:val="5"/>
    </w:rPr>
  </w:style>
  <w:style w:type="paragraph" w:styleId="ac">
    <w:name w:val="header"/>
    <w:basedOn w:val="a"/>
    <w:link w:val="ad"/>
    <w:uiPriority w:val="99"/>
    <w:unhideWhenUsed/>
    <w:rsid w:val="001C2AF4"/>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1C2AF4"/>
  </w:style>
  <w:style w:type="paragraph" w:styleId="ae">
    <w:name w:val="footer"/>
    <w:basedOn w:val="a"/>
    <w:link w:val="af"/>
    <w:uiPriority w:val="99"/>
    <w:unhideWhenUsed/>
    <w:rsid w:val="001C2AF4"/>
    <w:pPr>
      <w:tabs>
        <w:tab w:val="center" w:pos="4677"/>
        <w:tab w:val="right" w:pos="9355"/>
      </w:tabs>
      <w:spacing w:after="0" w:line="240" w:lineRule="auto"/>
    </w:pPr>
  </w:style>
  <w:style w:type="character" w:customStyle="1" w:styleId="af">
    <w:name w:val="Нижний колонтитул Знак"/>
    <w:basedOn w:val="a0"/>
    <w:link w:val="ae"/>
    <w:uiPriority w:val="99"/>
    <w:rsid w:val="001C2AF4"/>
  </w:style>
  <w:style w:type="paragraph" w:customStyle="1" w:styleId="ds-markdown-paragraph">
    <w:name w:val="ds-markdown-paragraph"/>
    <w:basedOn w:val="a"/>
    <w:rsid w:val="000A6D9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TotalTime>
  <Pages>15</Pages>
  <Words>5588</Words>
  <Characters>31853</Characters>
  <Application>Microsoft Office Word</Application>
  <DocSecurity>0</DocSecurity>
  <Lines>265</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Федор Лобырев</dc:creator>
  <cp:keywords/>
  <dc:description/>
  <cp:lastModifiedBy>Федор Лобырев</cp:lastModifiedBy>
  <cp:revision>39</cp:revision>
  <dcterms:created xsi:type="dcterms:W3CDTF">2026-01-20T12:20:00Z</dcterms:created>
  <dcterms:modified xsi:type="dcterms:W3CDTF">2026-01-22T18:39:00Z</dcterms:modified>
</cp:coreProperties>
</file>