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Personal involucrado e intereses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quiere cargar rápidamente, y sin errores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EMR:</w:t>
      </w:r>
      <w:r w:rsidDel="00000000" w:rsidR="00000000" w:rsidRPr="00000000">
        <w:rPr>
          <w:rtl w:val="0"/>
        </w:rPr>
        <w:t xml:space="preserve"> Quiere registrar las transacciones con precisión y satisfacer los intereses 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clientes. Quiere asegurar que se registran los pagos.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Quiere cierta tolerancia a fallos. Quiere actualización automática y rápida de la cantidad de usuarios que usan el sistema y del monto total de recargas realizadas.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El número de tarjeta existe.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Garantías de éxito (Postcondiciones):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recarga se realiza con éxito. Se actualiza la cantidad de usuarios que usan el sistema y del monto total de recargas realizadas. Se genera el ticket de recarga.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Escenario principal de éxito (o Flujo Básico):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El Usuario llega a un terminal.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2- Ingresar el Número de la Tarjeta ubicado en el reverso de la misma y Confirmar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3- Ingresar tarjeta bancaria al cajero y clave personal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4- Seleccionar la Cuenta Bancaria desde la que se transferirá el dinero para hacer la recarga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5- Ingresar el Importe y Confirmar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 El Sistema gestiona el pago.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 El Sistema registra la recarga  y envía la información de la recarga y el pago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 de Inventario (para actualizar el inventario).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8- Se imprimirá el ticket con los datos de la transacción.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Extensiones (o Flujos Alternativos):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*a. En cualquier momento el Sistema falla: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dar soporte a la recuperación y registro correcto, asegura que todos los estados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eventos significativos de una transacción puedan recuperarse desde cualquier paso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 escenario.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El Sistema reconstruye el estado anterior.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El Sistema detecta anomalías intentando la recuperación: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El Sistema informa del error al Usuario, registra el error, y pasa a un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limpio.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El Usuario comienza una nueva transacción.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Identificador de tarjeta no válido: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El Sistema señala el error y rechaza la entrada.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4-6a. El Usuario modifica el importe de la recarga: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El Sistema muestra la suma actualizada.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4-6b. El Usuario le pide al Sistema que cancele la recarga: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Se cancela la recarga en 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6a. El Sistema recibe la denegación del pago: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El Sistema señala la denegación al Usuario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El Sistema le pide al Usuario un modo de pago alternativo.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Requisitos especiales: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Interfaz de Usuario con pantalla táctil en un gran monitor de pantalla plana. El texto debe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 visible a un metro de distancia.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Tiempo de respuesta para la autorización del pago de 30 segundos el 90% de las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De algún modo, queremos recuperación robusta cuando falla el acceso a servicios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remotos, como el sistema de inventario.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Internacionalización del lenguaje del texto que se muestra.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Lista de tecnología y variaciones de datos: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El identificador de la tarjeta  se introduce a través del teclado táctil.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4a. La entrada de la información de la cuenta se lleva a cabo mediante el teclado táctil.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Frecuencia</w:t>
      </w:r>
      <w:r w:rsidDel="00000000" w:rsidR="00000000" w:rsidRPr="00000000">
        <w:rPr>
          <w:rtl w:val="0"/>
        </w:rPr>
        <w:t xml:space="preserve">: Podría ser casi continuo.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