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7365D"/>
          <w:sz w:val="44"/>
        </w:rPr>
        <w:t>COMPARATIVO BASELINE VS ACTUAL</w:t>
        <w:br/>
        <w:t>Y EVALUACIÓN DE LATENCIA</w:t>
      </w:r>
    </w:p>
    <w:p>
      <w:pPr>
        <w:jc w:val="center"/>
      </w:pPr>
      <w:r>
        <w:rPr>
          <w:rFonts w:ascii="Arial" w:hAnsi="Arial"/>
          <w:color w:val="2F75B5"/>
          <w:sz w:val="24"/>
        </w:rPr>
        <w:t>Seminario de Tesis 2 - Sprint 10</w:t>
      </w:r>
    </w:p>
    <w:p>
      <w:pPr>
        <w:jc w:val="center"/>
      </w:pPr>
      <w:r>
        <w:rPr>
          <w:rFonts w:ascii="Arial" w:hAnsi="Arial"/>
          <w:b/>
          <w:color w:val="17365D"/>
          <w:sz w:val="24"/>
        </w:rPr>
        <w:t>Aplicación de modelos de IA para la detección proactiva de fallas físicas en infraestructura de red NOC</w:t>
        <w:br/>
      </w:r>
      <w:r>
        <w:rPr>
          <w:rFonts w:ascii="Arial" w:hAnsi="Arial"/>
          <w:b w:val="0"/>
          <w:color w:val="666666"/>
          <w:sz w:val="22"/>
        </w:rPr>
        <w:br/>
      </w:r>
      <w:r>
        <w:rPr>
          <w:rFonts w:ascii="Arial" w:hAnsi="Arial"/>
          <w:b w:val="0"/>
          <w:color w:val="666666"/>
          <w:sz w:val="22"/>
        </w:rPr>
        <w:t>Autor: Fernando Joel Blaz Aleman</w:t>
        <w:br/>
      </w:r>
      <w:r>
        <w:rPr>
          <w:rFonts w:ascii="Arial" w:hAnsi="Arial"/>
          <w:b w:val="0"/>
          <w:color w:val="666666"/>
          <w:sz w:val="22"/>
        </w:rPr>
        <w:t>Docente/asesor: PhD. Glen Darío Rodríguez Rafael</w:t>
        <w:br/>
      </w:r>
      <w:r>
        <w:rPr>
          <w:rFonts w:ascii="Arial" w:hAnsi="Arial"/>
          <w:b w:val="0"/>
          <w:color w:val="666666"/>
          <w:sz w:val="22"/>
        </w:rPr>
        <w:t>Fecha: 10 de julio de 2026</w:t>
        <w:br/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8"/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Alcance de esta entrega</w:t>
              <w:br/>
            </w:r>
            <w:r>
              <w:rPr>
                <w:rFonts w:ascii="Arial" w:hAnsi="Arial"/>
                <w:sz w:val="20"/>
              </w:rPr>
              <w:t>Comparación técnica leakage-safe, p50/p95/p99, throughput, errores, optimizaciones, evidencias reproducibles y protocolo de percepción del stakeholder. Las respuestas de usuario no se fabrican: permanecen pendientes de ejecución real.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Resumen ejecutivo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Decisión recomendada</w:t>
              <w:br/>
            </w:r>
            <w:r>
              <w:rPr>
                <w:rFonts w:ascii="Arial" w:hAnsi="Arial"/>
                <w:sz w:val="20"/>
              </w:rPr>
              <w:t>GO para laboratorio y shadow mode. NO-GO para canary o producción con impacto real hasta validar percepción con usuarios NOC, acordar el costo FN/FP y cerrar los riesgos críticos.</w:t>
            </w:r>
          </w:p>
        </w:tc>
      </w:tr>
    </w:tbl>
    <w:p>
      <w:pPr>
        <w:spacing w:after="0"/>
      </w:pPr>
    </w:p>
    <w:p>
      <w:r>
        <w:t>El modelo actual mejora la priorización respecto de la regla BAU en F1, precisión, Average Precision, Brier y carga de alertas. Sin embargo, reduce el recall. Por ello la conclusión no es “el modelo gana en todo”, sino que ofrece una mejor relación entre carga operativa y cobertura bajo el costo asumido FP + 3·FN.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Baseline BAU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F1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0.492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0.503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Mejora 2.2%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Precisión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0.329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0.346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Mejora 1.6 pp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Recall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0.973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0.925</w:t>
            </w:r>
          </w:p>
        </w:tc>
        <w:tc>
          <w:tcPr>
            <w:tcW w:type="dxa" w:w="2409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7"/>
              </w:rPr>
              <w:t>Pierde 4.9 pp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Average Precision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0.356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0.435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Mejora 22.2%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Brier (menor mejor)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0.428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0.221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Reduce 48.3%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FP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1420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1254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Reduce 166 (11.7%)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FN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54</w:t>
            </w:r>
          </w:p>
        </w:tc>
        <w:tc>
          <w:tcPr>
            <w:tcW w:type="dxa" w:w="2409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7"/>
              </w:rPr>
              <w:t>Costo: +35 casos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/>
                <w:sz w:val="17"/>
              </w:rPr>
              <w:t>Costo FP+3FN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1477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1416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7"/>
              </w:rPr>
              <w:t>Reduce 61 (4.1%)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17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line_vs_actual_sprint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1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Figura 1. Métricas del holdout cronológico. Fuente: ejecución reproducible de Sprint 10.</w:t>
      </w:r>
    </w:p>
    <w:p>
      <w:pPr>
        <w:pStyle w:val="Heading1"/>
      </w:pPr>
      <w:r>
        <w:t>2. Diseño de la evaluación</w:t>
      </w:r>
    </w:p>
    <w:p>
      <w:r>
        <w:t>Se utilizó el dataset anonimizado de Sprint 7 y se ordenó por año, semana ISO, día y hora. Los timestamps iguales se mantuvieron en la misma partición para evitar contaminación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Partición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n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Positivos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Inicio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Fin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train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7566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32.6%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2024-01-01 05:00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2025-09-24 04:00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calibration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1079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28.5%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2025-09-24 05:00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2025-12-08 08:00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test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2161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33.1%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2025-12-08 11:00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2026-04-24 11:00</w:t>
            </w:r>
          </w:p>
        </w:tc>
      </w:tr>
    </w:tbl>
    <w:p>
      <w:pPr>
        <w:pStyle w:val="Heading2"/>
      </w:pPr>
      <w:r>
        <w:t>Baseline y modelo actual</w:t>
      </w:r>
    </w:p>
    <w:p>
      <w:r>
        <w:rPr>
          <w:b/>
        </w:rPr>
        <w:t xml:space="preserve">Baseline operacional: </w:t>
      </w:r>
      <w:r>
        <w:t>regla BAU congelada de Sprint 7, umbral 0.50. Se eligió porque el material de clase permite usar BAU o una regla vigente cuando representa la decisión actual del stakeholder.</w:t>
      </w:r>
    </w:p>
    <w:p>
      <w:r>
        <w:rPr>
          <w:b/>
        </w:rPr>
        <w:t xml:space="preserve">Modelo actual: </w:t>
      </w:r>
      <w:r>
        <w:t>regresión logística con one-hot, imputación entrenada solo en train, C=1.0, sin class_weight. El umbral 0.245 se fijó únicamente en calibración.</w:t>
      </w:r>
    </w:p>
    <w:p>
      <w:r>
        <w:rPr>
          <w:b/>
        </w:rPr>
        <w:t xml:space="preserve">Selección: </w:t>
      </w:r>
      <w:r>
        <w:t>minimizar FP + 3·FN con recall de calibración ≥0.85. Entre configuraciones a ≤2% del costo mínimo se eligió la de menor Brier. El holdout se abrió una sola vez.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Auditoría crítica de fuga</w:t>
              <w:br/>
            </w:r>
            <w:r>
              <w:rPr>
                <w:rFonts w:ascii="Arial" w:hAnsi="Arial"/>
                <w:sz w:val="20"/>
              </w:rPr>
              <w:t>El modelo Sprint 8 usaba duration_hours_evidence. Como label_over_ola se construye a partir de la duración final frente al OLA/SLA, esa variable no existe al abrir el incidente y filtra la respuesta. Sprint 10 bloquea duración final, fecha de cierre, tiempo de resolución y label_source.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65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uration_target_leakage_sprint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6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Figura 2. La duración final está fuertemente asociada con la etiqueta; se conserva solo como evidencia de auditoría.</w:t>
      </w:r>
    </w:p>
    <w:p>
      <w:r>
        <w:br w:type="page"/>
      </w:r>
    </w:p>
    <w:p>
      <w:pPr>
        <w:pStyle w:val="Heading1"/>
      </w:pPr>
      <w:r>
        <w:t>3. Latencia, capacidad y robustez</w:t>
      </w:r>
    </w:p>
    <w:p>
      <w:r>
        <w:t>El protocolo separó carga fría, servicio caliente y micro-batching. Se usó time.perf_counter_ns, warmup explícito y múltiples repeticiones. Los resultados son del hardware registrado en el manifiesto y no deben extrapolarse sin repetir en el servidor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Modo</w:t>
            </w:r>
          </w:p>
        </w:tc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Batch</w:t>
            </w:r>
          </w:p>
        </w:tc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p50 ms</w:t>
            </w:r>
          </w:p>
        </w:tc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p99 ms</w:t>
            </w:r>
          </w:p>
        </w:tc>
        <w:tc>
          <w:tcPr>
            <w:tcW w:type="dxa" w:w="1606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req/s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Cold/carga por llamada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10.275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12.315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12.586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96.2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Warm/precargado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7.917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9.919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10.653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123.8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Warm/precargado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7.136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7.759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8.296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1115.2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Warm/precargado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6.852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7.350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8.261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2302.5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Warm/precargado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6.943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7.583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8.032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4547.8</w:t>
            </w:r>
          </w:p>
        </w:tc>
      </w:tr>
      <w:tr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Warm/precargado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7.277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7.904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7.977</w:t>
            </w:r>
          </w:p>
        </w:tc>
        <w:tc>
          <w:tcPr>
            <w:tcW w:type="dxa" w:w="1606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8737.8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011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y_p50_p95_sprint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Figura 3. Latencia p50/p95 por modo. El SLO de laboratorio es p95 &lt;150 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Resultado SLO</w:t>
              <w:br/>
            </w:r>
            <w:r>
              <w:rPr>
                <w:rFonts w:ascii="Arial" w:hAnsi="Arial"/>
                <w:sz w:val="20"/>
              </w:rPr>
              <w:t>Warm batch 1: p50 7.917 ms, p95 9.919 ms y 123.8 req/s. Batch 16: 2302.5 req/s con p95 de lote 7.350 ms. Error interno observado: 0%.</w:t>
            </w:r>
          </w:p>
        </w:tc>
      </w:tr>
    </w:tbl>
    <w:p>
      <w:pPr>
        <w:spacing w:after="0"/>
      </w:pPr>
    </w:p>
    <w:p>
      <w:pPr>
        <w:pStyle w:val="Heading2"/>
      </w:pPr>
      <w:r>
        <w:t>Optimizaciones probadas</w:t>
      </w:r>
    </w:p>
    <w:p>
      <w:pPr>
        <w:pStyle w:val="ListBullet"/>
      </w:pPr>
      <w:r>
        <w:rPr>
          <w:b/>
        </w:rPr>
        <w:t xml:space="preserve">Carga fría vs precarga: </w:t>
      </w:r>
      <w:r>
        <w:t>Mantener el joblib en memoria redujo p95 y elevó throughput. Cargar por request se clasifica como antipatrón.</w:t>
      </w:r>
    </w:p>
    <w:p>
      <w:pPr>
        <w:pStyle w:val="ListBullet"/>
      </w:pPr>
      <w:r>
        <w:rPr>
          <w:b/>
        </w:rPr>
        <w:t xml:space="preserve">Micro-batching: </w:t>
      </w:r>
      <w:r>
        <w:t>Lotes 8-16 amortizan el costo fijo y son la recomendación para una cola; batch 1 sigue siendo apropiado para interacción.</w:t>
      </w:r>
    </w:p>
    <w:p>
      <w:pPr>
        <w:pStyle w:val="ListBullet"/>
      </w:pPr>
      <w:r>
        <w:rPr>
          <w:b/>
        </w:rPr>
        <w:t xml:space="preserve">Validación vectorizada: </w:t>
      </w:r>
      <w:r>
        <w:t>Tipos, rangos y campos obligatorios se verifican antes de inferencia. Categorías nuevas son toleradas por OneHotEncoder.</w:t>
      </w:r>
    </w:p>
    <w:p>
      <w:pPr>
        <w:pStyle w:val="ListBullet"/>
      </w:pPr>
      <w:r>
        <w:rPr>
          <w:b/>
        </w:rPr>
        <w:t xml:space="preserve">No probadas en esta entrega: </w:t>
      </w:r>
      <w:r>
        <w:t>ONNX/GPU/TensorRT no se justificaron para un modelo lineal pequeño; primero se optimizó el cuello real: carga y batching.</w:t>
      </w:r>
    </w:p>
    <w:p>
      <w:pPr>
        <w:pStyle w:val="Heading2"/>
      </w:pPr>
      <w:r>
        <w:t>Pruebas de robustez</w:t>
      </w:r>
    </w:p>
    <w:p>
      <w:r>
        <w:t>Se ejecutaron 8 casos: entrada válida, campo requerido ausente, tipo numérico inválido, rango imposible, categoría desconocida, campo extra, nulo categórico y lote vacío. Resultado: 8/8 correctos; 0 errores internos.</w:t>
      </w:r>
    </w:p>
    <w:p>
      <w:pPr>
        <w:pStyle w:val="Heading1"/>
      </w:pPr>
      <w:r>
        <w:t>4. Percepción del usuario y decisión de despliegue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8"/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Estado de evidencia de usuario</w:t>
              <w:br/>
            </w:r>
            <w:r>
              <w:rPr>
                <w:rFonts w:ascii="Arial" w:hAnsi="Arial"/>
                <w:sz w:val="20"/>
              </w:rPr>
              <w:t>No se encontraron respuestas reales de stakeholders en los archivos entregados. Se prepararon protocolo A/B, tres escenarios, hoja de facilitación, plantilla CSV y agregador. Reportar valores ficticios dañaría la validez de la tesis.</w:t>
            </w:r>
          </w:p>
        </w:tc>
      </w:tr>
    </w:tbl>
    <w:p>
      <w:pPr>
        <w:spacing w:after="0"/>
      </w:pPr>
    </w:p>
    <w:p>
      <w:r>
        <w:t>Las dimensiones pendientes son utilidad, claridad, confianza, éxito de tarea, tiempo y riesgos de “nunca usaría”. El criterio mínimo propuesto para canary es n≥3 usuarios NOC, mediana ≥4/5 en utilidad y claridad, éxito ≥80%, sin riesgo crítico abierto y aceptación explícita del trade-off FN/FP.</w:t>
      </w:r>
    </w:p>
    <w:p>
      <w:pPr>
        <w:pStyle w:val="Heading2"/>
      </w:pPr>
      <w:r>
        <w:t>Matriz de decisión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Decisión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2409"/>
            <w:vAlign w:val="center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Rollback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</w:t>
            </w:r>
          </w:p>
        </w:tc>
        <w:tc>
          <w:tcPr>
            <w:tcW w:type="dxa" w:w="2409"/>
            <w:vAlign w:val="center"/>
            <w:shd w:fill="E2F0D9"/>
          </w:tcPr>
          <w:p>
            <w:r/>
            <w:r>
              <w:rPr>
                <w:rFonts w:ascii="Arial" w:hAnsi="Arial"/>
                <w:b w:val="0"/>
                <w:sz w:val="16"/>
              </w:rPr>
              <w:t>GO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Evidencia reproducible y pruebas 8/8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 aplica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Shadow mode</w:t>
            </w:r>
          </w:p>
        </w:tc>
        <w:tc>
          <w:tcPr>
            <w:tcW w:type="dxa" w:w="2409"/>
            <w:vAlign w:val="center"/>
            <w:shd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GO condicionado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Logging, revisión de FN, sin afectar decisiones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Regla BAU</w:t>
            </w:r>
          </w:p>
        </w:tc>
      </w:tr>
      <w:tr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Canary / producción</w:t>
            </w:r>
          </w:p>
        </w:tc>
        <w:tc>
          <w:tcPr>
            <w:tcW w:type="dxa" w:w="2409"/>
            <w:vAlign w:val="center"/>
            <w:shd w:fill="FCE4D6"/>
          </w:tcPr>
          <w:p>
            <w:r/>
            <w:r>
              <w:rPr>
                <w:rFonts w:ascii="Arial" w:hAnsi="Arial"/>
                <w:b w:val="0"/>
                <w:sz w:val="16"/>
              </w:rPr>
              <w:t>NO-GO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Falta percepción real y acuerdo de costo</w:t>
            </w:r>
          </w:p>
        </w:tc>
        <w:tc>
          <w:tcPr>
            <w:tcW w:type="dxa" w:w="240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Regla BAU + desactivar modelo</w:t>
            </w:r>
          </w:p>
        </w:tc>
      </w:tr>
    </w:tbl>
    <w:p>
      <w:pPr>
        <w:pStyle w:val="Heading1"/>
      </w:pPr>
      <w:r>
        <w:t>5. Conclusiones</w:t>
      </w:r>
    </w:p>
    <w:p>
      <w:pPr>
        <w:pStyle w:val="ListNumber"/>
      </w:pPr>
      <w:r>
        <w:t>La mejora técnica es moderada pero defendible: F1 +0.011, AP +0.079, Brier -0.206, 166 FP menos y costo ponderado 61 casos menor.</w:t>
      </w:r>
    </w:p>
    <w:p>
      <w:pPr>
        <w:pStyle w:val="ListNumber"/>
      </w:pPr>
      <w:r>
        <w:t>El costo de esa reducción es 35 FN adicionales y -4.9 pp de recall; el modelo no debe operar sin supervisión.</w:t>
      </w:r>
    </w:p>
    <w:p>
      <w:pPr>
        <w:pStyle w:val="ListNumber"/>
      </w:pPr>
      <w:r>
        <w:t>El sistema cumple holgadamente el SLO de laboratorio con modelo precargado y error interno observado de 0%.</w:t>
      </w:r>
    </w:p>
    <w:p>
      <w:pPr>
        <w:pStyle w:val="ListNumber"/>
      </w:pPr>
      <w:r>
        <w:t>La corrección de target leakage es más importante que preservar la métrica histórica de Sprint 8.</w:t>
      </w:r>
    </w:p>
    <w:p>
      <w:pPr>
        <w:pStyle w:val="ListNumber"/>
      </w:pPr>
      <w:r>
        <w:t>El siguiente paso válido es una prueba A/B con usuarios NOC y luego shadow mode instrumentado.</w:t>
      </w:r>
    </w:p>
    <w:p>
      <w:pPr>
        <w:pStyle w:val="Heading1"/>
      </w:pPr>
      <w:r>
        <w:t>6. Evidencia entregada</w:t>
      </w:r>
    </w:p>
    <w:p>
      <w:pPr>
        <w:pStyle w:val="ListBullet"/>
      </w:pPr>
      <w:r>
        <w:t>Script principal, contrato de inferencia, agregador de stakeholder y 8 pruebas unitarias.</w:t>
      </w:r>
    </w:p>
    <w:p>
      <w:pPr>
        <w:pStyle w:val="ListBullet"/>
      </w:pPr>
      <w:r>
        <w:t>Notebook ejecutado, predicciones del holdout, muestras de latencia, eventos y manifiesto de hardware/versiones.</w:t>
      </w:r>
    </w:p>
    <w:p>
      <w:pPr>
        <w:pStyle w:val="ListBullet"/>
      </w:pPr>
      <w:r>
        <w:t>Tablas CSV: comparativo, IC95 bootstrap, sensibilidad de umbral, latencia, optimizaciones, robustez y auditoría de fuga.</w:t>
      </w:r>
    </w:p>
    <w:p>
      <w:pPr>
        <w:pStyle w:val="ListBullet"/>
      </w:pPr>
      <w:r>
        <w:t>Figuras: baseline vs actual, Precision-Recall, umbral, latencia, throughput y fuga.</w:t>
      </w:r>
    </w:p>
    <w:p>
      <w:pPr>
        <w:pStyle w:val="ListBullet"/>
      </w:pPr>
      <w:r>
        <w:t>Artefacto joblib y model card; protocolo y plantillas de stakeholder.</w:t>
      </w:r>
    </w:p>
    <w:p>
      <w:pPr>
        <w:pStyle w:val="Heading2"/>
      </w:pPr>
      <w:r>
        <w:t>Referencias internas</w:t>
      </w:r>
    </w:p>
    <w:p>
      <w:pPr>
        <w:pStyle w:val="ListBullet"/>
        <w:spacing w:after="40"/>
      </w:pPr>
      <w:r>
        <w:rPr>
          <w:sz w:val="18"/>
        </w:rPr>
        <w:t>Material de clase: Maestria2_IA12.pptx, “Prueba con stakeholder y latencia”.</w:t>
      </w:r>
    </w:p>
    <w:p>
      <w:pPr>
        <w:pStyle w:val="ListBullet"/>
        <w:spacing w:after="40"/>
      </w:pPr>
      <w:r>
        <w:rPr>
          <w:sz w:val="18"/>
        </w:rPr>
        <w:t>Repositorio: Fer-ds/tesis-noc-fallas-ia, rama seminario-tesis2-matriz-sprint8.</w:t>
      </w:r>
    </w:p>
    <w:p>
      <w:pPr>
        <w:pStyle w:val="ListBullet"/>
        <w:spacing w:after="40"/>
      </w:pPr>
      <w:r>
        <w:rPr>
          <w:sz w:val="18"/>
        </w:rPr>
        <w:t>Entregables Sprint 7 HPO, Sprint 8 MLOps/overfitting y Sprint 9 error slicing incluidos en los archivos fuente.</w:t>
      </w:r>
    </w:p>
    <w:p>
      <w:pPr>
        <w:pStyle w:val="ListBullet"/>
        <w:spacing w:after="40"/>
      </w:pPr>
      <w:r>
        <w:rPr>
          <w:sz w:val="18"/>
        </w:rPr>
        <w:t>Evidencia Sprint 10 generada el 10 de julio de 2026; versiones y hashes en artifacts/reproducibility_manifest_sprint10.json.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Seminario de Tesis 2 | Sprint 10 | Validación y latencia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