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ind w:firstLine="0" w:left="0" w:right="0"/>
        <w:jc w:val="center"/>
      </w:pPr>
      <w:r>
        <w:rPr>
          <w:rFonts w:ascii="Arial" w:hAnsi="Arial"/>
          <w:b/>
          <w:sz w:val="32"/>
        </w:rPr>
        <w:t>UNIVERSIDAD NACIONAL DE INGENIERÍA</w:t>
      </w:r>
    </w:p>
    <w:p>
      <w:pPr>
        <w:spacing w:after="200" w:line="240" w:lineRule="auto"/>
        <w:ind w:firstLine="0" w:left="0" w:right="0"/>
        <w:jc w:val="center"/>
      </w:pPr>
      <w:r>
        <w:rPr>
          <w:rFonts w:ascii="Arial" w:hAnsi="Arial"/>
          <w:b/>
          <w:sz w:val="26"/>
        </w:rPr>
        <w:t>UNIDAD DE POSGRADO - FACULTAD DE INGENIERÍA INDUSTRIAL Y DE SISTEMAS</w:t>
      </w:r>
    </w:p>
    <w:p>
      <w:pPr>
        <w:spacing w:after="20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965960" cy="247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47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left="0" w:right="0"/>
        <w:jc w:val="center"/>
      </w:pPr>
      <w:r>
        <w:rPr>
          <w:rFonts w:ascii="Arial" w:hAnsi="Arial"/>
          <w:b/>
          <w:sz w:val="28"/>
        </w:rPr>
        <w:t>PLAN DE DESPLIEGUE MÍNIMO</w:t>
      </w:r>
    </w:p>
    <w:p>
      <w:pPr>
        <w:spacing w:line="240" w:lineRule="auto"/>
        <w:ind w:firstLine="0" w:left="0" w:right="0"/>
        <w:jc w:val="center"/>
      </w:pPr>
      <w:r>
        <w:rPr>
          <w:rFonts w:ascii="Arial" w:hAnsi="Arial"/>
          <w:b/>
          <w:sz w:val="24"/>
        </w:rPr>
        <w:t>SPRINT 11</w:t>
      </w:r>
    </w:p>
    <w:p>
      <w:pPr>
        <w:spacing w:before="160" w:after="240" w:line="240" w:lineRule="auto"/>
        <w:ind w:firstLine="0" w:left="0" w:right="0"/>
        <w:jc w:val="center"/>
      </w:pPr>
      <w:r>
        <w:rPr>
          <w:rFonts w:ascii="Arial" w:hAnsi="Arial"/>
          <w:b/>
          <w:sz w:val="24"/>
        </w:rPr>
        <w:t>“APLICACIÓN DE MODELOS DE INTELIGENCIA ARTIFICIAL PARA LA DETECCIÓN Y PREDICCIÓN PROACTIVA DE FALLAS FÍSICAS EN INFRAESTRUCTURAS DE RED DE TELECOMUNICACIONES EN ENTORNOS NOC”</w:t>
      </w:r>
    </w:p>
    <w:p>
      <w:pPr>
        <w:spacing w:after="240" w:line="240" w:lineRule="auto"/>
        <w:ind w:firstLine="0" w:left="0" w:right="0"/>
        <w:jc w:val="center"/>
      </w:pPr>
      <w:r>
        <w:rPr>
          <w:rFonts w:ascii="Arial" w:hAnsi="Arial"/>
          <w:sz w:val="22"/>
        </w:rPr>
        <w:t>PARA OBTENER EL GRADO ACADÉMICO DE MAESTRO EN CIENCIAS CON MENCIÓN EN INTELIGENCIA ARTIFICIAL</w:t>
      </w:r>
    </w:p>
    <w:p>
      <w:pPr>
        <w:spacing w:line="240" w:lineRule="auto"/>
        <w:ind w:firstLine="0" w:left="0" w:right="0"/>
        <w:jc w:val="center"/>
      </w:pPr>
      <w:r>
        <w:rPr>
          <w:rFonts w:ascii="Arial" w:hAnsi="Arial"/>
          <w:b/>
          <w:sz w:val="22"/>
        </w:rPr>
        <w:t>ELABORADA POR:</w:t>
      </w:r>
    </w:p>
    <w:p>
      <w:pPr>
        <w:spacing w:line="240" w:lineRule="auto"/>
        <w:ind w:firstLine="0" w:left="0" w:right="0"/>
        <w:jc w:val="center"/>
      </w:pPr>
      <w:r>
        <w:rPr>
          <w:rFonts w:ascii="Arial" w:hAnsi="Arial"/>
          <w:b/>
          <w:sz w:val="24"/>
        </w:rPr>
        <w:t>FERNANDO JOEL BLAZ ALEMAN</w:t>
      </w:r>
    </w:p>
    <w:p>
      <w:pPr>
        <w:spacing w:before="160" w:line="240" w:lineRule="auto"/>
        <w:ind w:firstLine="0" w:left="0" w:right="0"/>
        <w:jc w:val="center"/>
      </w:pPr>
      <w:r>
        <w:rPr>
          <w:rFonts w:ascii="Arial" w:hAnsi="Arial"/>
          <w:sz w:val="22"/>
        </w:rPr>
        <w:t>ASESOR: PhD. Glen Darío Rodríguez Rafael</w:t>
      </w:r>
    </w:p>
    <w:p>
      <w:pPr>
        <w:spacing w:before="240" w:line="240" w:lineRule="auto"/>
        <w:ind w:firstLine="0" w:left="0" w:right="0"/>
        <w:jc w:val="center"/>
      </w:pPr>
      <w:r>
        <w:rPr>
          <w:rFonts w:ascii="Arial" w:hAnsi="Arial"/>
          <w:b/>
          <w:sz w:val="22"/>
        </w:rPr>
        <w:t>LIMA, PERÚ</w:t>
      </w:r>
    </w:p>
    <w:p>
      <w:pPr>
        <w:spacing w:line="240" w:lineRule="auto"/>
        <w:ind w:firstLine="0" w:left="0" w:right="0"/>
        <w:jc w:val="center"/>
      </w:pPr>
      <w:r>
        <w:rPr>
          <w:rFonts w:ascii="Arial" w:hAnsi="Arial"/>
          <w:b/>
          <w:sz w:val="22"/>
        </w:rPr>
        <w:t>2026</w:t>
      </w:r>
      <w:r>
        <w:br w:type="page"/>
      </w:r>
    </w:p>
    <w:p>
      <w:pPr>
        <w:pStyle w:val="TesisHeading1"/>
      </w:pPr>
      <w:r>
        <w:t>Resumen ejecutivo</w:t>
      </w:r>
    </w:p>
    <w:p>
      <w:pPr>
        <w:pStyle w:val="TesisBody"/>
      </w:pPr>
      <w:r>
        <w:rPr>
          <w:rFonts w:ascii="Arial" w:hAnsi="Arial"/>
          <w:sz w:val="22"/>
        </w:rPr>
        <w:t>El presente plan convierte el avance experimental de la tesis en un prototipo corrible, trazable y seguro para laboratorio. La arquitectura candidata es un módulo de línea de comandos (CLI) para uso local y batch, debido a que el flujo actual corresponde a analítica interna y no requiere todavía una interfaz web. El artefacto leakage-safe de Sprint 10 se carga una vez por proceso, recibe únicamente información disponible al abrir el incidente, valida tipos y rangos mediante Pydantic y devuelve un score de riesgo, un candidato de alerta, la latencia y la versión/hash del modelo. El modo predeterminado es shadow_ranking: el modelo ordena casos, pero no elimina ni reemplaza las alertas de la regla BAU. La matriz de confusión confirmó que el positivo real es el incumplimiento del OLA y que una alerta es solo una predicción positiva. El umbral original 0.245 redujo falsas alarmas, pero elevó los falsos negativos de 19 a 54; por ello no se propone como reemplazo autónomo. Se documenta un umbral recall-first de 0.20 como candidato posterior al feedback, sujeto a revalidación temporal. El plan incorpora contratos I/O, entorno fijado, lockfile, Makefile, prueba E2E, observabilidad, smoke/golden tests, seguridad, hoja de ruta a Docker/API y rollback inmediato a BAU.</w:t>
      </w:r>
      <w:r>
        <w:br w:type="page"/>
      </w:r>
    </w:p>
    <w:p>
      <w:pPr>
        <w:pStyle w:val="TesisHeading1"/>
      </w:pPr>
      <w:r>
        <w:t>1. Arquitectura candidata</w:t>
      </w:r>
    </w:p>
    <w:p>
      <w:pPr>
        <w:pStyle w:val="TesisBody"/>
      </w:pPr>
      <w:r>
        <w:rPr>
          <w:rFonts w:ascii="Arial" w:hAnsi="Arial"/>
          <w:sz w:val="22"/>
        </w:rPr>
        <w:t>Se selecciona el modo módulo/CLI para el prototipo actual. La API FastAPI y el contenedor Docker quedan en la hoja de ruta, después de validar concurrencia, percepción del stakeholder y contrato de recall.</w:t>
      </w:r>
    </w:p>
    <w:p>
      <w:pPr>
        <w:pStyle w:val="TesisCaptionNumber"/>
      </w:pPr>
      <w:r>
        <w:rPr>
          <w:rFonts w:ascii="Arial" w:hAnsi="Arial"/>
          <w:b/>
          <w:sz w:val="18"/>
        </w:rPr>
        <w:t>Figura 1</w:t>
      </w:r>
    </w:p>
    <w:p>
      <w:pPr>
        <w:pStyle w:val="TesisCaptionTitle"/>
      </w:pPr>
      <w:r>
        <w:rPr>
          <w:rFonts w:ascii="Arial" w:hAnsi="Arial"/>
          <w:i/>
          <w:sz w:val="18"/>
        </w:rPr>
        <w:t>Arquitectura candidata del prototipo y evolución a Docker/API.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29000" cy="5640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andidate_sprint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640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sisNote"/>
      </w:pPr>
      <w:r>
        <w:rPr>
          <w:rFonts w:ascii="Arial" w:hAnsi="Arial"/>
          <w:i/>
          <w:sz w:val="18"/>
        </w:rPr>
        <w:t xml:space="preserve">Nota. </w:t>
      </w:r>
      <w:r>
        <w:rPr>
          <w:rFonts w:ascii="Arial" w:hAnsi="Arial"/>
          <w:sz w:val="18"/>
        </w:rPr>
        <w:t>El modo operativo predeterminado es shadow_ranking; BAU permanece como fallback y fuente de decisión.</w:t>
      </w:r>
      <w:r>
        <w:br w:type="page"/>
      </w:r>
    </w:p>
    <w:p>
      <w:pPr>
        <w:pStyle w:val="TesisHeading1"/>
      </w:pPr>
      <w:r>
        <w:t>2. Contratos de entrada y salida</w:t>
      </w:r>
    </w:p>
    <w:p>
      <w:pPr>
        <w:pStyle w:val="TesisBody"/>
      </w:pPr>
      <w:r>
        <w:rPr>
          <w:rFonts w:ascii="Arial" w:hAnsi="Arial"/>
          <w:sz w:val="22"/>
        </w:rPr>
        <w:t>La clase real positiva corresponde al incidente que efectivamente incumple el OLA. La predicción positiva corresponde a un candidato de alerta. Esta distinción se expresa en el contrato para evitar la confusión observada durante la revisión de la matriz de confusión.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1</w:t>
      </w:r>
    </w:p>
    <w:p>
      <w:pPr>
        <w:pStyle w:val="TesisCaptionTitle"/>
      </w:pPr>
      <w:r>
        <w:rPr>
          <w:rFonts w:ascii="Arial" w:hAnsi="Arial"/>
          <w:i/>
          <w:sz w:val="18"/>
        </w:rPr>
        <w:t>Campos principales del contrato de entrada.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922"/>
        <w:gridCol w:w="2922"/>
        <w:gridCol w:w="2922"/>
      </w:tblGrid>
      <w:tr>
        <w:trPr>
          <w:tblHeader w:val="true"/>
        </w:trPr>
        <w:tc>
          <w:tcPr>
            <w:tcW w:type="dxa" w:w="153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Grupo</w:t>
            </w:r>
          </w:p>
        </w:tc>
        <w:tc>
          <w:tcPr>
            <w:tcW w:type="dxa" w:w="4535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Campos</w:t>
            </w:r>
          </w:p>
        </w:tc>
        <w:tc>
          <w:tcPr>
            <w:tcW w:type="dxa" w:w="294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Categóricos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domain, area, priority, type_of_incident, trouble_type, incident_type, network_id, reason_group, branch_id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Nulos a MISSING; longitud limitada; categorías nuevas permitidas.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Temporales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year, quarter, month, week_of_year, day_of_week, hour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Rangos válidos y tipos numéricos.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Operativos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is_weekend, is_night, sla_threshold_hours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Binarios 0/1 y OLA entre 0 y 720 horas.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Bloqueados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duration_hours, duration_hours_evidence, resolution_time, end_time, label_source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No forman parte del esquema por fuga o disponibilidad temporal.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CC5"/>
          <w:left w:val="single" w:sz="4" w:color="B7BCC5"/>
          <w:bottom w:val="single" w:sz="4" w:color="B7BCC5"/>
          <w:right w:val="single" w:sz="4" w:color="B7BCC5"/>
          <w:insideH w:val="nil"/>
          <w:insideV w:val="nil"/>
        </w:tblBorders>
      </w:tblPr>
      <w:tblGrid>
        <w:gridCol w:w="8765"/>
      </w:tblGrid>
      <w:tr>
        <w:tc>
          <w:tcPr>
            <w:tcW w:type="dxa" w:w="876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esisCode"/>
            </w:pPr>
            <w:r>
              <w:rPr>
                <w:rFonts w:ascii="Consolas" w:hAnsi="Consolas"/>
                <w:sz w:val="17"/>
              </w:rPr>
              <w:t>python src/predict_cli_sprint11.py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--input examples/input_valid_sprint11.json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--output results/prediction_cli_sprint11.json --pretty</w:t>
            </w:r>
          </w:p>
        </w:tc>
      </w:tr>
    </w:tbl>
    <w:p>
      <w:pPr>
        <w:spacing w:after="0"/>
      </w:pPr>
    </w:p>
    <w:p>
      <w:pPr>
        <w:pStyle w:val="TesisBody"/>
      </w:pPr>
      <w:r>
        <w:rPr>
          <w:rFonts w:ascii="Arial" w:hAnsi="Arial"/>
          <w:sz w:val="22"/>
        </w:rPr>
        <w:t>La salida incluye request_id, definiciones semánticas, modo de decisión, versión y hash del modelo, latencia de carga, latencia de inferencia, score, candidato de alerta, banda de ranking y umbral. Los errores de entrada se devuelven con code, message, hint y detalle por campo.</w:t>
      </w:r>
      <w:r>
        <w:br w:type="page"/>
      </w:r>
    </w:p>
    <w:p>
      <w:pPr>
        <w:pStyle w:val="TesisHeading1"/>
      </w:pPr>
      <w:r>
        <w:t>3. Reproducibilidad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2</w:t>
      </w:r>
    </w:p>
    <w:p>
      <w:pPr>
        <w:pStyle w:val="TesisCaptionTitle"/>
      </w:pPr>
      <w:r>
        <w:rPr>
          <w:rFonts w:ascii="Arial" w:hAnsi="Arial"/>
          <w:i/>
          <w:sz w:val="18"/>
        </w:rPr>
        <w:t>Elementos para regenerar el entorno.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4382"/>
        <w:gridCol w:w="4382"/>
      </w:tblGrid>
      <w:tr>
        <w:trPr>
          <w:tblHeader w:val="true"/>
        </w:trPr>
        <w:tc>
          <w:tcPr>
            <w:tcW w:type="dxa" w:w="238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6633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Python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3.13.x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Semilla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Dependencias directas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requirements-sprint11.lock.txt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Lockfile transitive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uv.lock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Configuración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config/deployment_sprint11.json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Variables de entorno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.env.example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Comandos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Makefile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Integridad</w:t>
            </w:r>
          </w:p>
        </w:tc>
        <w:tc>
          <w:tcPr>
            <w:tcW w:type="dxa" w:w="663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artifacts/deployment_manifest_sprint11.json con SHA-256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CC5"/>
          <w:left w:val="single" w:sz="4" w:color="B7BCC5"/>
          <w:bottom w:val="single" w:sz="4" w:color="B7BCC5"/>
          <w:right w:val="single" w:sz="4" w:color="B7BCC5"/>
          <w:insideH w:val="nil"/>
          <w:insideV w:val="nil"/>
        </w:tblBorders>
      </w:tblPr>
      <w:tblGrid>
        <w:gridCol w:w="8765"/>
      </w:tblGrid>
      <w:tr>
        <w:tc>
          <w:tcPr>
            <w:tcW w:type="dxa" w:w="8765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esisCode"/>
            </w:pPr>
            <w:r>
              <w:rPr>
                <w:rFonts w:ascii="Consolas" w:hAnsi="Consolas"/>
                <w:sz w:val="17"/>
              </w:rPr>
              <w:t>make setup</w:t>
            </w:r>
            <w:r>
              <w:br/>
            </w:r>
            <w:r>
              <w:rPr>
                <w:rFonts w:ascii="Consolas" w:hAnsi="Consolas"/>
                <w:sz w:val="17"/>
              </w:rPr>
              <w:t>make schemas</w:t>
            </w:r>
            <w:r>
              <w:br/>
            </w:r>
            <w:r>
              <w:rPr>
                <w:rFonts w:ascii="Consolas" w:hAnsi="Consolas"/>
                <w:sz w:val="17"/>
              </w:rPr>
              <w:t>make predict</w:t>
            </w:r>
            <w:r>
              <w:br/>
            </w:r>
            <w:r>
              <w:rPr>
                <w:rFonts w:ascii="Consolas" w:hAnsi="Consolas"/>
                <w:sz w:val="17"/>
              </w:rPr>
              <w:t>make test</w:t>
            </w:r>
            <w:r>
              <w:br/>
            </w:r>
            <w:r>
              <w:rPr>
                <w:rFonts w:ascii="Consolas" w:hAnsi="Consolas"/>
                <w:sz w:val="17"/>
              </w:rPr>
              <w:t>make e2e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4. End-to-end en limpio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Clonar la rama y entrar a la raíz del repositorio.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Crear o activar un entorno Python 3.13.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Ejecutar make setup o uv sync --frozen.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Verificar el artefacto actual_logreg_sprint10.joblib y su SHA-256.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Ejecutar make test y luego make e2e.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Confirmar success=true en results/e2e_summary_sprint11.json.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3</w:t>
      </w:r>
    </w:p>
    <w:p>
      <w:pPr>
        <w:pStyle w:val="TesisCaptionTitle"/>
      </w:pPr>
      <w:r>
        <w:rPr>
          <w:rFonts w:ascii="Arial" w:hAnsi="Arial"/>
          <w:i/>
          <w:sz w:val="18"/>
        </w:rPr>
        <w:t>Criterios de éxito del E2E.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4382"/>
        <w:gridCol w:w="4382"/>
      </w:tblGrid>
      <w:tr>
        <w:trPr>
          <w:tblHeader w:val="true"/>
        </w:trPr>
        <w:tc>
          <w:tcPr>
            <w:tcW w:type="dxa" w:w="2835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type="dxa" w:w="6180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Exit code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Contrato de salida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Válido según Pydantic/JSON Schema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Lote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 predicciones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Scores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Dentro de [0,1]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Integridad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Hash del modelo coincide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Modo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shadow_ranking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Golden</w:t>
            </w:r>
          </w:p>
        </w:tc>
        <w:tc>
          <w:tcPr>
            <w:tcW w:type="dxa" w:w="61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Scores y etiquetas coinciden dentro de tolerancia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5. Observabilidad</w:t>
      </w:r>
    </w:p>
    <w:p>
      <w:pPr>
        <w:pStyle w:val="TesisBody"/>
      </w:pPr>
      <w:r>
        <w:rPr>
          <w:rFonts w:ascii="Arial" w:hAnsi="Arial"/>
          <w:sz w:val="22"/>
        </w:rPr>
        <w:t>Cada invocación registra eventos JSONL y métricas CSV sin almacenar el contenido crudo del incidente. Los campos mínimos son timestamp UTC, request_id, estado, modo, batch, latencia total y media, versión, hash, umbral y código de error. El SLO de 150 ms se aplica a inferencia caliente; el arranque frío de un proceso CLI se reporta por separado.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4</w:t>
      </w:r>
    </w:p>
    <w:p>
      <w:pPr>
        <w:pStyle w:val="TesisCaptionTitle"/>
      </w:pPr>
      <w:r>
        <w:rPr>
          <w:rFonts w:ascii="Arial" w:hAnsi="Arial"/>
          <w:i/>
          <w:sz w:val="18"/>
        </w:rPr>
        <w:t>Métricas de laboratorio heredadas de Sprint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753"/>
        <w:gridCol w:w="1753"/>
        <w:gridCol w:w="1753"/>
        <w:gridCol w:w="1753"/>
        <w:gridCol w:w="1753"/>
      </w:tblGrid>
      <w:tr>
        <w:trPr>
          <w:tblHeader w:val="true"/>
        </w:trPr>
        <w:tc>
          <w:tcPr>
            <w:tcW w:type="dxa" w:w="294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Modo</w:t>
            </w:r>
          </w:p>
        </w:tc>
        <w:tc>
          <w:tcPr>
            <w:tcW w:type="dxa" w:w="1417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p50</w:t>
            </w:r>
          </w:p>
        </w:tc>
        <w:tc>
          <w:tcPr>
            <w:tcW w:type="dxa" w:w="1417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187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136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Errores internos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Modelo precargado, batch 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7.92 ms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9.92 ms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123.8 req/s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0 observados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Micro-batch 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7.14 ms/lote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7.76 ms/lote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1,115 registros/s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0 observados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Micro-batch 16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6.85 ms/lote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7.35 ms/lote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2,302 registros/s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0 observados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6. Validación y pruebas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5</w:t>
      </w:r>
    </w:p>
    <w:p>
      <w:pPr>
        <w:pStyle w:val="TesisCaptionTitle"/>
      </w:pPr>
      <w:r>
        <w:rPr>
          <w:rFonts w:ascii="Arial" w:hAnsi="Arial"/>
          <w:i/>
          <w:sz w:val="18"/>
        </w:rPr>
        <w:t>Pruebas incorporadas.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922"/>
        <w:gridCol w:w="2922"/>
        <w:gridCol w:w="2922"/>
      </w:tblGrid>
      <w:tr>
        <w:trPr>
          <w:tblHeader w:val="true"/>
        </w:trPr>
        <w:tc>
          <w:tcPr>
            <w:tcW w:type="dxa" w:w="170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Prueba</w:t>
            </w:r>
          </w:p>
        </w:tc>
        <w:tc>
          <w:tcPr>
            <w:tcW w:type="dxa" w:w="294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Propósito</w:t>
            </w:r>
          </w:p>
        </w:tc>
        <w:tc>
          <w:tcPr>
            <w:tcW w:type="dxa" w:w="4365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Smoke válido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Verificar que el sistema respira.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Carga el modelo y devuelve 2 predicciones válidas.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Smoke inválido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Control de errores.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hour=25 genera INPUT_VALIDATION_ERROR.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Borde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Robustez a categorías nuevas.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No produce error interno.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Golden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Estabilidad determinística.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Mismo input, mismos scores dentro de 1e-10.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Fuga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Seguridad metodológica.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El esquema no contiene variables posteriores al resultado.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Matriz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Trazabilidad del feedback.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Reproduce TP/FP/FN/TN de 0.245 y 0.20.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7. Seguridad y configuración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6</w:t>
      </w:r>
    </w:p>
    <w:p>
      <w:pPr>
        <w:pStyle w:val="TesisCaptionTitle"/>
      </w:pPr>
      <w:r>
        <w:rPr>
          <w:rFonts w:ascii="Arial" w:hAnsi="Arial"/>
          <w:i/>
          <w:sz w:val="18"/>
        </w:rPr>
        <w:t>Variables y límites seguros.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922"/>
        <w:gridCol w:w="2922"/>
        <w:gridCol w:w="2922"/>
      </w:tblGrid>
      <w:tr>
        <w:trPr>
          <w:tblHeader w:val="true"/>
        </w:trPr>
        <w:tc>
          <w:tcPr>
            <w:tcW w:type="dxa" w:w="226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204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Valor</w:t>
            </w:r>
          </w:p>
        </w:tc>
        <w:tc>
          <w:tcPr>
            <w:tcW w:type="dxa" w:w="4706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Modo por defecto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shadow_ranking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No altera decisiones reales.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Payload máximo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65 536 bytes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Reduce abuso y errores de memoria.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Batch máximo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64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Coincide con benchmark y contrato.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Timeout/SLO warm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150 ms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Objetivo de laboratorio.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Artefacto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SHA-256 verificado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Detecta corrupción o versión incorrecta.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Datos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Anonimizados/mock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No exponer identificadores operativos.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Secretos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No se versionan</w:t>
            </w:r>
          </w:p>
        </w:tc>
        <w:tc>
          <w:tcPr>
            <w:tcW w:type="dxa" w:w="470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Se parametrizan por entorno.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8. Matriz de confusión y corrección recall-first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7</w:t>
      </w:r>
    </w:p>
    <w:p>
      <w:pPr>
        <w:pStyle w:val="TesisCaptionTitle"/>
      </w:pPr>
      <w:r>
        <w:rPr>
          <w:rFonts w:ascii="Arial" w:hAnsi="Arial"/>
          <w:i/>
          <w:sz w:val="18"/>
        </w:rPr>
        <w:t>Comparación de puntos de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252"/>
        <w:gridCol w:w="1252"/>
        <w:gridCol w:w="1252"/>
        <w:gridCol w:w="1252"/>
        <w:gridCol w:w="1252"/>
        <w:gridCol w:w="1252"/>
        <w:gridCol w:w="1252"/>
      </w:tblGrid>
      <w:tr>
        <w:trPr>
          <w:tblHeader w:val="true"/>
        </w:trPr>
        <w:tc>
          <w:tcPr>
            <w:tcW w:type="dxa" w:w="226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Sistema</w:t>
            </w:r>
          </w:p>
        </w:tc>
        <w:tc>
          <w:tcPr>
            <w:tcW w:type="dxa" w:w="794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TN</w:t>
            </w:r>
          </w:p>
        </w:tc>
        <w:tc>
          <w:tcPr>
            <w:tcW w:type="dxa" w:w="1020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FP</w:t>
            </w:r>
          </w:p>
        </w:tc>
        <w:tc>
          <w:tcPr>
            <w:tcW w:type="dxa" w:w="794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FN</w:t>
            </w:r>
          </w:p>
        </w:tc>
        <w:tc>
          <w:tcPr>
            <w:tcW w:type="dxa" w:w="907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TP</w:t>
            </w:r>
          </w:p>
        </w:tc>
        <w:tc>
          <w:tcPr>
            <w:tcW w:type="dxa" w:w="1247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Recall</w:t>
            </w:r>
          </w:p>
        </w:tc>
        <w:tc>
          <w:tcPr>
            <w:tcW w:type="dxa" w:w="136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Alertas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Baseline BAU 0.50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1420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697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97.35%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97.96%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Modelo 0.245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191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1254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54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662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92.46%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88.66%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Candidato 0.20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68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1377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698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97.49%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center"/>
            </w:pPr>
            <w:r>
              <w:rPr>
                <w:rFonts w:ascii="Arial" w:hAnsi="Arial"/>
                <w:sz w:val="18"/>
              </w:rPr>
              <w:t>96.02%</w:t>
            </w:r>
          </w:p>
        </w:tc>
      </w:tr>
    </w:tbl>
    <w:p>
      <w:pPr>
        <w:spacing w:after="0"/>
      </w:pPr>
    </w:p>
    <w:p>
      <w:pPr>
        <w:pStyle w:val="TesisCaptionNumber"/>
      </w:pPr>
      <w:r>
        <w:rPr>
          <w:rFonts w:ascii="Arial" w:hAnsi="Arial"/>
          <w:b/>
          <w:sz w:val="18"/>
        </w:rPr>
        <w:t>Figura 2</w:t>
      </w:r>
    </w:p>
    <w:p>
      <w:pPr>
        <w:pStyle w:val="TesisCaptionTitle"/>
      </w:pPr>
      <w:r>
        <w:rPr>
          <w:rFonts w:ascii="Arial" w:hAnsi="Arial"/>
          <w:i/>
          <w:sz w:val="18"/>
        </w:rPr>
        <w:t>Matriz de confusión del modelo con el umbral original 0.245.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82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modelo_actual_umbral_0245_sprint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8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sisNote"/>
      </w:pPr>
      <w:r>
        <w:rPr>
          <w:rFonts w:ascii="Arial" w:hAnsi="Arial"/>
          <w:i/>
          <w:sz w:val="18"/>
        </w:rPr>
        <w:t xml:space="preserve">Nota. </w:t>
      </w:r>
      <w:r>
        <w:rPr>
          <w:rFonts w:ascii="Arial" w:hAnsi="Arial"/>
          <w:sz w:val="18"/>
        </w:rPr>
        <w:t>El aumento de FN explica la caída de recall; este punto no se propone como reemplazo autónomo.</w:t>
      </w:r>
    </w:p>
    <w:p>
      <w:pPr>
        <w:pStyle w:val="TesisCaptionNumber"/>
      </w:pPr>
      <w:r>
        <w:rPr>
          <w:rFonts w:ascii="Arial" w:hAnsi="Arial"/>
          <w:b/>
          <w:sz w:val="18"/>
        </w:rPr>
        <w:t>Figura 3</w:t>
      </w:r>
    </w:p>
    <w:p>
      <w:pPr>
        <w:pStyle w:val="TesisCaptionTitle"/>
      </w:pPr>
      <w:r>
        <w:rPr>
          <w:rFonts w:ascii="Arial" w:hAnsi="Arial"/>
          <w:i/>
          <w:sz w:val="18"/>
        </w:rPr>
        <w:t>Matriz de confusión del candidato recall-first 0.20.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85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modelo_actual_umbral_0200_candidato_sprint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8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sisNote"/>
      </w:pPr>
      <w:r>
        <w:rPr>
          <w:rFonts w:ascii="Arial" w:hAnsi="Arial"/>
          <w:i/>
          <w:sz w:val="18"/>
        </w:rPr>
        <w:t xml:space="preserve">Nota. </w:t>
      </w:r>
      <w:r>
        <w:rPr>
          <w:rFonts w:ascii="Arial" w:hAnsi="Arial"/>
          <w:sz w:val="18"/>
        </w:rPr>
        <w:t>El resultado es exploratorio porque el umbral se revisó después del feedback; requiere una ventana temporal nueva.</w:t>
      </w:r>
      <w:r>
        <w:br w:type="page"/>
      </w:r>
    </w:p>
    <w:p>
      <w:pPr>
        <w:pStyle w:val="TesisHeading1"/>
      </w:pPr>
      <w:r>
        <w:t>9. Hoja de ruta a Docker/API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8</w:t>
      </w:r>
    </w:p>
    <w:p>
      <w:pPr>
        <w:pStyle w:val="TesisCaptionTitle"/>
      </w:pPr>
      <w:r>
        <w:rPr>
          <w:rFonts w:ascii="Arial" w:hAnsi="Arial"/>
          <w:i/>
          <w:sz w:val="18"/>
        </w:rPr>
        <w:t>Tareas, responsables y fechas objetivo.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191"/>
        <w:gridCol w:w="2191"/>
        <w:gridCol w:w="2191"/>
        <w:gridCol w:w="2191"/>
      </w:tblGrid>
      <w:tr>
        <w:trPr>
          <w:tblHeader w:val="true"/>
        </w:trPr>
        <w:tc>
          <w:tcPr>
            <w:tcW w:type="dxa" w:w="2665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Tarea</w:t>
            </w:r>
          </w:p>
        </w:tc>
        <w:tc>
          <w:tcPr>
            <w:tcW w:type="dxa" w:w="226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304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277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Congelar Sprint 11 y tag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Fernando Blaz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18-07-2026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Tag + manifiesto SHA-256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Dockerfile no-root + healthcheck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Fernando Blaz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21-07-2026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Build reproducible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FastAPI /predict y /healthz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Fernando Blaz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23-07-2026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OpenAPI + tests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Carga 10→100 req/s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Fernando Blaz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25-07-2026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p50/p95/error por escalón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Shadow con revisión NOC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Tesista + stakeholder por confirmar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29-07-2026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Bitácora FP/FN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Usabilidad/aceptación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Stakeholder por confirmar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31-07-2026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n≥3; utilidad/claridad ≥4/5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Decisión canary/no-go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Tesista + asesor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03-08-2026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Acta + rollback drill</w:t>
            </w:r>
          </w:p>
        </w:tc>
      </w:tr>
    </w:tbl>
    <w:p>
      <w:pPr>
        <w:spacing w:after="0"/>
      </w:pPr>
      <w:r>
        <w:br w:type="page"/>
      </w:r>
    </w:p>
    <w:p>
      <w:pPr>
        <w:pStyle w:val="TesisHeading1"/>
      </w:pPr>
      <w:r>
        <w:t>10. Riesgos, mitigaciones y rollback</w:t>
      </w:r>
    </w:p>
    <w:p>
      <w:pPr>
        <w:pStyle w:val="TesisCaptionNumber"/>
      </w:pPr>
      <w:r>
        <w:rPr>
          <w:rFonts w:ascii="Arial" w:hAnsi="Arial"/>
          <w:b/>
          <w:sz w:val="18"/>
        </w:rPr>
        <w:t>Tabla 9</w:t>
      </w:r>
    </w:p>
    <w:p>
      <w:pPr>
        <w:pStyle w:val="TesisCaptionTitle"/>
      </w:pPr>
      <w:r>
        <w:rPr>
          <w:rFonts w:ascii="Arial" w:hAnsi="Arial"/>
          <w:i/>
          <w:sz w:val="18"/>
        </w:rPr>
        <w:t>Riesgos principales del prototipo.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922"/>
        <w:gridCol w:w="2922"/>
        <w:gridCol w:w="2922"/>
      </w:tblGrid>
      <w:tr>
        <w:trPr>
          <w:tblHeader w:val="true"/>
        </w:trPr>
        <w:tc>
          <w:tcPr>
            <w:tcW w:type="dxa" w:w="2665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Riesgo</w:t>
            </w:r>
          </w:p>
        </w:tc>
        <w:tc>
          <w:tcPr>
            <w:tcW w:type="dxa" w:w="345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Mitigación</w:t>
            </w:r>
          </w:p>
        </w:tc>
        <w:tc>
          <w:tcPr>
            <w:tcW w:type="dxa" w:w="2891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Arial" w:hAnsi="Arial"/>
                <w:b/>
                <w:sz w:val="18"/>
              </w:rPr>
              <w:t>Rollback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Caída de recall / FN críticos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Ranking-only, umbral recall-first y revisión de FN.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Deshabilitar modelo y volver a BAU.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Target leakage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Allowlist de features y test automático.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Bloquear release y reentrenar.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Drift temporal o por branch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Monitoreo mensual/slices.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Recalibrar o congelar versión previa.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Dependencias frágiles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Lockfile y hashes.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Restaurar entorno/artefacto etiquetado.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Latencia concurrente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Load test, precarga, batching.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Reducir tráfico o retirar API.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Datos sensibles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Anonimización y logs sin payload.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Detener servicio y sanear evidencia.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Mala UX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A/B guiado y mensajes explícitos.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line="276" w:lineRule="auto" w:after="0"/>
              <w:ind w:firstLine="0" w:left="0" w:right="0"/>
              <w:jc w:val="left"/>
            </w:pPr>
            <w:r>
              <w:rPr>
                <w:rFonts w:ascii="Arial" w:hAnsi="Arial"/>
                <w:sz w:val="18"/>
              </w:rPr>
              <w:t>Mantener BAU y rediseñar salida.</w:t>
            </w:r>
          </w:p>
        </w:tc>
      </w:tr>
    </w:tbl>
    <w:p>
      <w:pPr>
        <w:spacing w:after="0"/>
      </w:pP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Cambiar NOC_MODEL_ENABLED=false o NOC_DECISION_MODE=baseline_only.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Detener cualquier acción automática y conservar solo evidencia.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Restablecer BAU_rule_frozen_vS7.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Ejecutar smoke test del fallback.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Registrar versión, hash, causa, ventana y casos afectados.</w:t>
      </w:r>
    </w:p>
    <w:p>
      <w:pPr>
        <w:pStyle w:val="TesisBodyNoIndent"/>
        <w:ind w:left="397" w:hanging="312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Reactivar únicamente en shadow mode después de repetir tests y carga.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440" w:right="1440" w:bottom="1440" w:left="1701" w:header="709" w:footer="709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isBody">
    <w:name w:val="Tesis Body"/>
    <w:basedOn w:val="Normal"/>
    <w:pPr>
      <w:keepNext w:val="0"/>
      <w:spacing w:line="480" w:lineRule="auto" w:before="0" w:after="0"/>
      <w:ind w:firstLine="720"/>
      <w:jc w:val="both"/>
    </w:pPr>
    <w:rPr>
      <w:rFonts w:ascii="Arial" w:hAnsi="Arial"/>
      <w:b w:val="0"/>
      <w:i w:val="0"/>
      <w:sz w:val="22"/>
    </w:rPr>
  </w:style>
  <w:style w:type="paragraph" w:customStyle="1" w:styleId="TesisBodyNoIndent">
    <w:name w:val="Tesis Body No Indent"/>
    <w:basedOn w:val="Normal"/>
    <w:pPr>
      <w:keepNext w:val="0"/>
      <w:spacing w:line="480" w:lineRule="auto" w:before="0" w:after="0"/>
      <w:ind w:firstLine="0"/>
      <w:jc w:val="both"/>
    </w:pPr>
    <w:rPr>
      <w:rFonts w:ascii="Arial" w:hAnsi="Arial"/>
      <w:b w:val="0"/>
      <w:i w:val="0"/>
      <w:sz w:val="22"/>
    </w:rPr>
  </w:style>
  <w:style w:type="paragraph" w:customStyle="1" w:styleId="TesisHeading1">
    <w:name w:val="Tesis Heading 1"/>
    <w:basedOn w:val="Normal"/>
    <w:pPr>
      <w:keepNext/>
      <w:spacing w:line="480" w:lineRule="auto" w:before="0" w:after="240"/>
      <w:ind w:firstLine="0"/>
      <w:jc w:val="center"/>
    </w:pPr>
    <w:rPr>
      <w:rFonts w:ascii="Arial" w:hAnsi="Arial"/>
      <w:b/>
      <w:i w:val="0"/>
      <w:sz w:val="28"/>
    </w:rPr>
  </w:style>
  <w:style w:type="paragraph" w:customStyle="1" w:styleId="TesisHeading2">
    <w:name w:val="Tesis Heading 2"/>
    <w:basedOn w:val="Normal"/>
    <w:pPr>
      <w:keepNext/>
      <w:spacing w:line="480" w:lineRule="auto" w:before="240" w:after="120"/>
      <w:ind w:firstLine="0"/>
      <w:jc w:val="left"/>
    </w:pPr>
    <w:rPr>
      <w:rFonts w:ascii="Arial" w:hAnsi="Arial"/>
      <w:b/>
      <w:i w:val="0"/>
      <w:sz w:val="22"/>
    </w:rPr>
  </w:style>
  <w:style w:type="paragraph" w:customStyle="1" w:styleId="TesisHeading3">
    <w:name w:val="Tesis Heading 3"/>
    <w:basedOn w:val="Normal"/>
    <w:pPr>
      <w:keepNext/>
      <w:spacing w:line="480" w:lineRule="auto" w:before="180" w:after="60"/>
      <w:ind w:firstLine="0"/>
      <w:jc w:val="left"/>
    </w:pPr>
    <w:rPr>
      <w:rFonts w:ascii="Arial" w:hAnsi="Arial"/>
      <w:b/>
      <w:i/>
      <w:sz w:val="22"/>
    </w:rPr>
  </w:style>
  <w:style w:type="paragraph" w:customStyle="1" w:styleId="TesisCaptionNumber">
    <w:name w:val="Tesis Caption Number"/>
    <w:basedOn w:val="Normal"/>
    <w:pPr>
      <w:keepNext/>
      <w:spacing w:line="240" w:lineRule="auto" w:before="0" w:after="0"/>
      <w:ind w:firstLine="0"/>
      <w:jc w:val="left"/>
    </w:pPr>
    <w:rPr>
      <w:rFonts w:ascii="Arial" w:hAnsi="Arial"/>
      <w:b/>
      <w:i w:val="0"/>
      <w:sz w:val="18"/>
    </w:rPr>
  </w:style>
  <w:style w:type="paragraph" w:customStyle="1" w:styleId="TesisCaptionTitle">
    <w:name w:val="Tesis Caption Title"/>
    <w:basedOn w:val="Normal"/>
    <w:pPr>
      <w:keepNext/>
      <w:spacing w:line="240" w:lineRule="auto" w:before="0" w:after="80"/>
      <w:ind w:firstLine="0"/>
      <w:jc w:val="left"/>
    </w:pPr>
    <w:rPr>
      <w:rFonts w:ascii="Arial" w:hAnsi="Arial"/>
      <w:b w:val="0"/>
      <w:i/>
      <w:sz w:val="18"/>
    </w:rPr>
  </w:style>
  <w:style w:type="paragraph" w:customStyle="1" w:styleId="TesisNote">
    <w:name w:val="Tesis Note"/>
    <w:basedOn w:val="Normal"/>
    <w:pPr>
      <w:keepNext w:val="0"/>
      <w:spacing w:line="240" w:lineRule="auto" w:before="0" w:after="120"/>
      <w:ind w:firstLine="0"/>
      <w:jc w:val="both"/>
    </w:pPr>
    <w:rPr>
      <w:rFonts w:ascii="Arial" w:hAnsi="Arial"/>
      <w:b w:val="0"/>
      <w:i w:val="0"/>
      <w:sz w:val="18"/>
    </w:rPr>
  </w:style>
  <w:style w:type="paragraph" w:customStyle="1" w:styleId="TesisTOC">
    <w:name w:val="Tesis TOC"/>
    <w:basedOn w:val="Normal"/>
    <w:pPr>
      <w:keepNext w:val="0"/>
      <w:spacing w:line="240" w:lineRule="auto" w:before="0" w:after="40"/>
      <w:ind w:firstLine="0"/>
      <w:jc w:val="left"/>
    </w:pPr>
    <w:rPr>
      <w:rFonts w:ascii="Arial" w:hAnsi="Arial"/>
      <w:b w:val="0"/>
      <w:i w:val="0"/>
      <w:sz w:val="22"/>
    </w:rPr>
  </w:style>
  <w:style w:type="paragraph" w:customStyle="1" w:styleId="TesisCode">
    <w:name w:val="Tesis Code"/>
    <w:basedOn w:val="Normal"/>
    <w:pPr>
      <w:keepNext w:val="0"/>
      <w:spacing w:line="240" w:lineRule="auto" w:before="0" w:after="0"/>
      <w:ind w:firstLine="0"/>
      <w:jc w:val="left"/>
    </w:pPr>
    <w:rPr>
      <w:rFonts w:ascii="Arial" w:hAnsi="Arial"/>
      <w:b w:val="0"/>
      <w:i w:val="0"/>
      <w:sz w:val="17"/>
    </w:rPr>
  </w:style>
  <w:style w:type="paragraph" w:customStyle="1" w:styleId="QQuestion">
    <w:name w:val="Q Question"/>
    <w:basedOn w:val="Normal"/>
    <w:pPr>
      <w:keepNext/>
      <w:spacing w:line="240" w:lineRule="auto" w:before="160" w:after="60"/>
      <w:ind w:firstLine="0"/>
      <w:jc w:val="left"/>
    </w:pPr>
    <w:rPr>
      <w:rFonts w:ascii="Arial" w:hAnsi="Arial"/>
      <w:b/>
      <w:i w:val="0"/>
      <w:sz w:val="22"/>
    </w:rPr>
  </w:style>
  <w:style w:type="paragraph" w:customStyle="1" w:styleId="QAnswer">
    <w:name w:val="Q Answer"/>
    <w:basedOn w:val="Normal"/>
    <w:pPr>
      <w:keepNext w:val="0"/>
      <w:spacing w:line="240" w:lineRule="auto" w:before="0" w:after="120"/>
      <w:ind w:firstLine="0"/>
      <w:jc w:val="both"/>
    </w:pPr>
    <w:rPr>
      <w:rFonts w:ascii="Arial" w:hAnsi="Arial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