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4"/>
          <w:szCs w:val="44"/>
        </w:rPr>
        <w:t xml:space="preserve">Modelo Financiero Mixto</w:t>
      </w:r>
    </w:p>
    <w:p>
      <w:pPr>
        <w:spacing w:after="400"/>
      </w:pPr>
      <w:r>
        <w:rPr>
          <w:i/>
          <w:iCs/>
          <w:color w:val="808080"/>
          <w:sz w:val="26"/>
          <w:szCs w:val="26"/>
        </w:rPr>
        <w:t xml:space="preserve">App de Gestión de Transporte Público — Ingresos por Suscripción SaaS + Multas</w:t>
      </w:r>
    </w:p>
    <w:p>
      <w:pPr>
        <w:pStyle w:val="Heading1"/>
        <w:spacing w:after="150" w:before="300"/>
      </w:pPr>
      <w:r>
        <w:t xml:space="preserve">1. Resumen Ejecutivo</w:t>
      </w:r>
    </w:p>
    <w:p>
      <w:pPr>
        <w:spacing w:after="160"/>
        <w:jc w:val="both"/>
      </w:pPr>
      <w:r>
        <w:t xml:space="preserve">Este informe documenta el modelo financiero construido para evaluar la viabilidad de la aplicación de gestión de transporte público descrita en el estudio de mercado previo. A diferencia del planteamiento original — donde "la app se paga sola" mediante el cobro de multas —, este modelo introduce un segundo flujo de ingreso: una cuota de suscripción SaaS mensual cobrada al concesionario o presidente de ruta por unidad activa. El objetivo es reducir la dependencia total del ingreso de un mecanismo (las multas) que, según el propio estudio de mercado, está expuesto a sabotaje de hardware, evasión y resistencia sindical.</w:t>
      </w:r>
    </w:p>
    <w:p>
      <w:pPr>
        <w:spacing w:after="160"/>
        <w:jc w:val="both"/>
      </w:pPr>
      <w:r>
        <w:t xml:space="preserve">El modelo proyecta 36 meses a partir de un piloto de una sola ruta, con tres escenarios (Conservador, Base y Optimista) que varían de forma simultánea el ritmo de expansión de rutas, el precio de suscripción, la tasa de activación y — de forma crítica — la tasa de captura efectiva de multas.</w:t>
      </w:r>
    </w:p>
    <w:p>
      <w:pPr>
        <w:spacing w:after="160"/>
        <w:jc w:val="both"/>
      </w:pPr>
      <w:r>
        <w:rPr>
          <w:b/>
          <w:bCs/>
        </w:rPr>
        <w:t xml:space="preserve">Hallazgo principal: incluso en el escenario Base, el 80.6% del ingreso total sigue proveniendo de multas, y solo 19.4% de la suscripción fija. La mezcla de ingresos no logra equilibrarse con los supuestos actuales — la app sigue siendo financieramente vulnerable al mismo riesgo operativo (sabotaje, evasión) que motivó diseñar un modelo mixto en primer lugar.</w:t>
      </w:r>
    </w:p>
    <w:p>
      <w:pPr>
        <w:pStyle w:val="Heading1"/>
        <w:spacing w:after="150" w:before="300"/>
      </w:pPr>
      <w:r>
        <w:t xml:space="preserve">2. Estructura del Modelo</w:t>
      </w:r>
    </w:p>
    <w:p>
      <w:pPr>
        <w:pStyle w:val="Heading2"/>
        <w:spacing w:after="120" w:before="240"/>
      </w:pPr>
      <w:r>
        <w:t xml:space="preserve">2.1 Fuentes de Ingreso</w:t>
      </w:r>
    </w:p>
    <w:p>
      <w:pPr>
        <w:pStyle w:val="ListParagraph"/>
        <w:numPr>
          <w:ilvl w:val="0"/>
          <w:numId w:val="1"/>
        </w:numPr>
        <w:spacing w:after="80"/>
      </w:pPr>
      <w:r>
        <w:t xml:space="preserve">Suscripción SaaS: cuota mensual fija por unidad activa, cobrada al concesionario/ruta. Ingreso predecible, no depende de la conducta del chofer.</w:t>
      </w:r>
    </w:p>
    <w:p>
      <w:pPr>
        <w:pStyle w:val="ListParagraph"/>
        <w:numPr>
          <w:ilvl w:val="0"/>
          <w:numId w:val="1"/>
        </w:numPr>
        <w:spacing w:after="80"/>
      </w:pPr>
      <w:r>
        <w:t xml:space="preserve">Multas: cobro automatizado por retrasos/infracciones de intervalo, calculado como unidades activas × infracciones/día × días operativos × multa promedio × tasa de captura efectiva. Ingreso variable y expuesto a evasión.</w:t>
      </w:r>
    </w:p>
    <w:p>
      <w:pPr>
        <w:pStyle w:val="Heading2"/>
        <w:spacing w:after="120" w:before="240"/>
      </w:pPr>
      <w:r>
        <w:t xml:space="preserve">2.2 Motor de Crecimiento</w:t>
      </w:r>
    </w:p>
    <w:p>
      <w:pPr>
        <w:spacing w:after="160"/>
        <w:jc w:val="both"/>
      </w:pPr>
      <w:r>
        <w:t xml:space="preserve">El número de rutas activas parte de un piloto fijo (1 ruta, meses 1–3) y después crece mensualmente según una tasa de adición neta de churn, hasta un tope máximo definido por escenario. Las unidades activas se derivan de rutas × unidades promedio por ruta × tasa de activación (el porcentaje de unidades que efectivamente adopta la app dentro de una ruta contratada).</w:t>
      </w:r>
    </w:p>
    <w:p>
      <w:pPr>
        <w:pStyle w:val="Heading2"/>
        <w:spacing w:after="120" w:before="240"/>
      </w:pPr>
      <w:r>
        <w:t xml:space="preserve">2.3 Estructura de Costos (OPEX)</w:t>
      </w:r>
    </w:p>
    <w:p>
      <w:pPr>
        <w:pStyle w:val="ListParagraph"/>
        <w:numPr>
          <w:ilvl w:val="0"/>
          <w:numId w:val="1"/>
        </w:numPr>
        <w:spacing w:after="80"/>
      </w:pPr>
      <w:r>
        <w:t xml:space="preserve">Hosting e infraestructura en la nube, proporcional a unidades activas.</w:t>
      </w:r>
    </w:p>
    <w:p>
      <w:pPr>
        <w:pStyle w:val="ListParagraph"/>
        <w:numPr>
          <w:ilvl w:val="0"/>
          <w:numId w:val="1"/>
        </w:numPr>
        <w:spacing w:after="80"/>
      </w:pPr>
      <w:r>
        <w:t xml:space="preserve">APIs de mapas/geolocalización, proporcional a unidades activas.</w:t>
      </w:r>
    </w:p>
    <w:p>
      <w:pPr>
        <w:pStyle w:val="ListParagraph"/>
        <w:numPr>
          <w:ilvl w:val="0"/>
          <w:numId w:val="1"/>
        </w:numPr>
        <w:spacing w:after="80"/>
      </w:pPr>
      <w:r>
        <w:t xml:space="preserve">Mantenimiento recurrente, calculado como % anual del CAPEX inicial.</w:t>
      </w:r>
    </w:p>
    <w:p>
      <w:pPr>
        <w:pStyle w:val="ListParagraph"/>
        <w:numPr>
          <w:ilvl w:val="0"/>
          <w:numId w:val="1"/>
        </w:numPr>
        <w:spacing w:after="80"/>
      </w:pPr>
      <w:r>
        <w:t xml:space="preserve">SMS/OTP para autenticación, costo fijo mensual.</w:t>
      </w:r>
    </w:p>
    <w:p>
      <w:pPr>
        <w:pStyle w:val="ListParagraph"/>
        <w:numPr>
          <w:ilvl w:val="0"/>
          <w:numId w:val="1"/>
        </w:numPr>
        <w:spacing w:after="80"/>
      </w:pPr>
      <w:r>
        <w:t xml:space="preserve">Soporte / Customer Success, componente fijo + variable por ruta activa.</w:t>
      </w:r>
    </w:p>
    <w:p>
      <w:pPr>
        <w:pStyle w:val="ListParagraph"/>
        <w:numPr>
          <w:ilvl w:val="0"/>
          <w:numId w:val="1"/>
        </w:numPr>
        <w:spacing w:after="80"/>
      </w:pPr>
      <w:r>
        <w:t xml:space="preserve">CAC (costo de adquisición), aplicado por cada ruta nueva incorporada al mes.</w:t>
      </w:r>
    </w:p>
    <w:p>
      <w:pPr>
        <w:pStyle w:val="Heading1"/>
        <w:spacing w:after="150" w:before="300"/>
      </w:pPr>
      <w:r>
        <w:t xml:space="preserve">3. Supuestos Clave por Escenario</w:t>
      </w:r>
    </w:p>
    <w:p>
      <w:pPr>
        <w:spacing w:after="160"/>
        <w:jc w:val="both"/>
      </w:pPr>
      <w:r>
        <w:t xml:space="preserve">Todos los valores son estimaciones de partida — no provienen de datos de mercado confirmados de competidores. Deben recalibrarse en cuanto se cuente con pricing real de la competencia (ver sección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2000"/>
        <w:gridCol w:w="2000"/>
        <w:gridCol w:w="2000"/>
      </w:tblGrid>
      <w:tr>
        <w:tc>
          <w:tcPr>
            <w:tcW w:type="dxa" w:w="3900"/>
            <w:shd w:fill="1F3864" w:val="clear"/>
            <w:tcMar>
              <w:top w:type="dxa" w:w="80"/>
              <w:left w:type="dxa" w:w="100"/>
              <w:bottom w:type="dxa" w:w="80"/>
              <w:right w:type="dxa" w:w="100"/>
            </w:tcMar>
          </w:tcPr>
          <w:p>
            <w:pPr>
              <w:jc w:val="left"/>
            </w:pPr>
            <w:r>
              <w:rPr>
                <w:b/>
                <w:bCs/>
                <w:color w:val="FFFFFF"/>
              </w:rPr>
              <w:t xml:space="preserve">Parámetro</w:t>
            </w:r>
          </w:p>
        </w:tc>
        <w:tc>
          <w:tcPr>
            <w:tcW w:type="dxa" w:w="2000"/>
            <w:shd w:fill="1F3864" w:val="clear"/>
            <w:tcMar>
              <w:top w:type="dxa" w:w="80"/>
              <w:left w:type="dxa" w:w="100"/>
              <w:bottom w:type="dxa" w:w="80"/>
              <w:right w:type="dxa" w:w="100"/>
            </w:tcMar>
          </w:tcPr>
          <w:p>
            <w:pPr>
              <w:jc w:val="center"/>
            </w:pPr>
            <w:r>
              <w:rPr>
                <w:b/>
                <w:bCs/>
                <w:color w:val="FFFFFF"/>
              </w:rPr>
              <w:t xml:space="preserve">Conservador</w:t>
            </w:r>
          </w:p>
        </w:tc>
        <w:tc>
          <w:tcPr>
            <w:tcW w:type="dxa" w:w="2000"/>
            <w:shd w:fill="1F3864" w:val="clear"/>
            <w:tcMar>
              <w:top w:type="dxa" w:w="80"/>
              <w:left w:type="dxa" w:w="100"/>
              <w:bottom w:type="dxa" w:w="80"/>
              <w:right w:type="dxa" w:w="100"/>
            </w:tcMar>
          </w:tcPr>
          <w:p>
            <w:pPr>
              <w:jc w:val="center"/>
            </w:pPr>
            <w:r>
              <w:rPr>
                <w:b/>
                <w:bCs/>
                <w:color w:val="FFFFFF"/>
              </w:rPr>
              <w:t xml:space="preserve">Base</w:t>
            </w:r>
          </w:p>
        </w:tc>
        <w:tc>
          <w:tcPr>
            <w:tcW w:type="dxa" w:w="2000"/>
            <w:shd w:fill="1F3864" w:val="clear"/>
            <w:tcMar>
              <w:top w:type="dxa" w:w="80"/>
              <w:left w:type="dxa" w:w="100"/>
              <w:bottom w:type="dxa" w:w="80"/>
              <w:right w:type="dxa" w:w="100"/>
            </w:tcMar>
          </w:tcPr>
          <w:p>
            <w:pPr>
              <w:jc w:val="center"/>
            </w:pPr>
            <w:r>
              <w:rPr>
                <w:b/>
                <w:bCs/>
                <w:color w:val="FFFFFF"/>
              </w:rPr>
              <w:t xml:space="preserve">Optimista</w:t>
            </w:r>
          </w:p>
        </w:tc>
      </w:tr>
      <w:tr>
        <w:tc>
          <w:tcPr>
            <w:tcW w:type="dxa" w:w="3900"/>
            <w:tcMar>
              <w:top w:type="dxa" w:w="80"/>
              <w:left w:type="dxa" w:w="100"/>
              <w:bottom w:type="dxa" w:w="80"/>
              <w:right w:type="dxa" w:w="100"/>
            </w:tcMar>
          </w:tcPr>
          <w:p>
            <w:pPr>
              <w:jc w:val="left"/>
            </w:pPr>
            <w:r>
              <w:rPr>
                <w:b/>
                <w:bCs/>
                <w:color w:val="000000"/>
              </w:rPr>
              <w:t xml:space="preserve">CAPEX MVP</w:t>
            </w:r>
          </w:p>
        </w:tc>
        <w:tc>
          <w:tcPr>
            <w:tcW w:type="dxa" w:w="2000"/>
            <w:tcMar>
              <w:top w:type="dxa" w:w="80"/>
              <w:left w:type="dxa" w:w="100"/>
              <w:bottom w:type="dxa" w:w="80"/>
              <w:right w:type="dxa" w:w="100"/>
            </w:tcMar>
          </w:tcPr>
          <w:p>
            <w:pPr>
              <w:jc w:val="center"/>
            </w:pPr>
            <w:r>
              <w:rPr>
                <w:b w:val="false"/>
                <w:bCs w:val="false"/>
                <w:color w:val="000000"/>
              </w:rPr>
              <w:t xml:space="preserve">$588,000</w:t>
            </w:r>
          </w:p>
        </w:tc>
        <w:tc>
          <w:tcPr>
            <w:tcW w:type="dxa" w:w="2000"/>
            <w:tcMar>
              <w:top w:type="dxa" w:w="80"/>
              <w:left w:type="dxa" w:w="100"/>
              <w:bottom w:type="dxa" w:w="80"/>
              <w:right w:type="dxa" w:w="100"/>
            </w:tcMar>
          </w:tcPr>
          <w:p>
            <w:pPr>
              <w:jc w:val="center"/>
            </w:pPr>
            <w:r>
              <w:rPr>
                <w:b w:val="false"/>
                <w:bCs w:val="false"/>
                <w:color w:val="000000"/>
              </w:rPr>
              <w:t xml:space="preserve">$675,000</w:t>
            </w:r>
          </w:p>
        </w:tc>
        <w:tc>
          <w:tcPr>
            <w:tcW w:type="dxa" w:w="2000"/>
            <w:tcMar>
              <w:top w:type="dxa" w:w="80"/>
              <w:left w:type="dxa" w:w="100"/>
              <w:bottom w:type="dxa" w:w="80"/>
              <w:right w:type="dxa" w:w="100"/>
            </w:tcMar>
          </w:tcPr>
          <w:p>
            <w:pPr>
              <w:jc w:val="center"/>
            </w:pPr>
            <w:r>
              <w:rPr>
                <w:b w:val="false"/>
                <w:bCs w:val="false"/>
                <w:color w:val="000000"/>
              </w:rPr>
              <w:t xml:space="preserve">$762,000</w:t>
            </w:r>
          </w:p>
        </w:tc>
      </w:tr>
      <w:tr>
        <w:tc>
          <w:tcPr>
            <w:tcW w:type="dxa" w:w="3900"/>
            <w:shd w:fill="F2F2F2" w:val="clear"/>
            <w:tcMar>
              <w:top w:type="dxa" w:w="80"/>
              <w:left w:type="dxa" w:w="100"/>
              <w:bottom w:type="dxa" w:w="80"/>
              <w:right w:type="dxa" w:w="100"/>
            </w:tcMar>
          </w:tcPr>
          <w:p>
            <w:pPr>
              <w:jc w:val="left"/>
            </w:pPr>
            <w:r>
              <w:rPr>
                <w:b/>
                <w:bCs/>
                <w:color w:val="000000"/>
              </w:rPr>
              <w:t xml:space="preserve">Rutas máximas (tope, mes 36)</w:t>
            </w:r>
          </w:p>
        </w:tc>
        <w:tc>
          <w:tcPr>
            <w:tcW w:type="dxa" w:w="2000"/>
            <w:shd w:fill="F2F2F2" w:val="clear"/>
            <w:tcMar>
              <w:top w:type="dxa" w:w="80"/>
              <w:left w:type="dxa" w:w="100"/>
              <w:bottom w:type="dxa" w:w="80"/>
              <w:right w:type="dxa" w:w="100"/>
            </w:tcMar>
          </w:tcPr>
          <w:p>
            <w:pPr>
              <w:jc w:val="center"/>
            </w:pPr>
            <w:r>
              <w:rPr>
                <w:b w:val="false"/>
                <w:bCs w:val="false"/>
                <w:color w:val="000000"/>
              </w:rPr>
              <w:t xml:space="preserve">25</w:t>
            </w:r>
          </w:p>
        </w:tc>
        <w:tc>
          <w:tcPr>
            <w:tcW w:type="dxa" w:w="2000"/>
            <w:shd w:fill="F2F2F2" w:val="clear"/>
            <w:tcMar>
              <w:top w:type="dxa" w:w="80"/>
              <w:left w:type="dxa" w:w="100"/>
              <w:bottom w:type="dxa" w:w="80"/>
              <w:right w:type="dxa" w:w="100"/>
            </w:tcMar>
          </w:tcPr>
          <w:p>
            <w:pPr>
              <w:jc w:val="center"/>
            </w:pPr>
            <w:r>
              <w:rPr>
                <w:b w:val="false"/>
                <w:bCs w:val="false"/>
                <w:color w:val="000000"/>
              </w:rPr>
              <w:t xml:space="preserve">40</w:t>
            </w:r>
          </w:p>
        </w:tc>
        <w:tc>
          <w:tcPr>
            <w:tcW w:type="dxa" w:w="2000"/>
            <w:shd w:fill="F2F2F2" w:val="clear"/>
            <w:tcMar>
              <w:top w:type="dxa" w:w="80"/>
              <w:left w:type="dxa" w:w="100"/>
              <w:bottom w:type="dxa" w:w="80"/>
              <w:right w:type="dxa" w:w="100"/>
            </w:tcMar>
          </w:tcPr>
          <w:p>
            <w:pPr>
              <w:jc w:val="center"/>
            </w:pPr>
            <w:r>
              <w:rPr>
                <w:b w:val="false"/>
                <w:bCs w:val="false"/>
                <w:color w:val="000000"/>
              </w:rPr>
              <w:t xml:space="preserve">60</w:t>
            </w:r>
          </w:p>
        </w:tc>
      </w:tr>
      <w:tr>
        <w:tc>
          <w:tcPr>
            <w:tcW w:type="dxa" w:w="3900"/>
            <w:tcMar>
              <w:top w:type="dxa" w:w="80"/>
              <w:left w:type="dxa" w:w="100"/>
              <w:bottom w:type="dxa" w:w="80"/>
              <w:right w:type="dxa" w:w="100"/>
            </w:tcMar>
          </w:tcPr>
          <w:p>
            <w:pPr>
              <w:jc w:val="left"/>
            </w:pPr>
            <w:r>
              <w:rPr>
                <w:b/>
                <w:bCs/>
                <w:color w:val="000000"/>
              </w:rPr>
              <w:t xml:space="preserve">Unidades promedio por ruta</w:t>
            </w:r>
          </w:p>
        </w:tc>
        <w:tc>
          <w:tcPr>
            <w:tcW w:type="dxa" w:w="2000"/>
            <w:tcMar>
              <w:top w:type="dxa" w:w="80"/>
              <w:left w:type="dxa" w:w="100"/>
              <w:bottom w:type="dxa" w:w="80"/>
              <w:right w:type="dxa" w:w="100"/>
            </w:tcMar>
          </w:tcPr>
          <w:p>
            <w:pPr>
              <w:jc w:val="center"/>
            </w:pPr>
            <w:r>
              <w:rPr>
                <w:b w:val="false"/>
                <w:bCs w:val="false"/>
                <w:color w:val="000000"/>
              </w:rPr>
              <w:t xml:space="preserve">12</w:t>
            </w:r>
          </w:p>
        </w:tc>
        <w:tc>
          <w:tcPr>
            <w:tcW w:type="dxa" w:w="2000"/>
            <w:tcMar>
              <w:top w:type="dxa" w:w="80"/>
              <w:left w:type="dxa" w:w="100"/>
              <w:bottom w:type="dxa" w:w="80"/>
              <w:right w:type="dxa" w:w="100"/>
            </w:tcMar>
          </w:tcPr>
          <w:p>
            <w:pPr>
              <w:jc w:val="center"/>
            </w:pPr>
            <w:r>
              <w:rPr>
                <w:b w:val="false"/>
                <w:bCs w:val="false"/>
                <w:color w:val="000000"/>
              </w:rPr>
              <w:t xml:space="preserve">15</w:t>
            </w:r>
          </w:p>
        </w:tc>
        <w:tc>
          <w:tcPr>
            <w:tcW w:type="dxa" w:w="2000"/>
            <w:tcMar>
              <w:top w:type="dxa" w:w="80"/>
              <w:left w:type="dxa" w:w="100"/>
              <w:bottom w:type="dxa" w:w="80"/>
              <w:right w:type="dxa" w:w="100"/>
            </w:tcMar>
          </w:tcPr>
          <w:p>
            <w:pPr>
              <w:jc w:val="center"/>
            </w:pPr>
            <w:r>
              <w:rPr>
                <w:b w:val="false"/>
                <w:bCs w:val="false"/>
                <w:color w:val="000000"/>
              </w:rPr>
              <w:t xml:space="preserve">18</w:t>
            </w:r>
          </w:p>
        </w:tc>
      </w:tr>
      <w:tr>
        <w:tc>
          <w:tcPr>
            <w:tcW w:type="dxa" w:w="3900"/>
            <w:shd w:fill="F2F2F2" w:val="clear"/>
            <w:tcMar>
              <w:top w:type="dxa" w:w="80"/>
              <w:left w:type="dxa" w:w="100"/>
              <w:bottom w:type="dxa" w:w="80"/>
              <w:right w:type="dxa" w:w="100"/>
            </w:tcMar>
          </w:tcPr>
          <w:p>
            <w:pPr>
              <w:jc w:val="left"/>
            </w:pPr>
            <w:r>
              <w:rPr>
                <w:b/>
                <w:bCs/>
                <w:color w:val="000000"/>
              </w:rPr>
              <w:t xml:space="preserve">Tasa de activación</w:t>
            </w:r>
          </w:p>
        </w:tc>
        <w:tc>
          <w:tcPr>
            <w:tcW w:type="dxa" w:w="2000"/>
            <w:shd w:fill="F2F2F2" w:val="clear"/>
            <w:tcMar>
              <w:top w:type="dxa" w:w="80"/>
              <w:left w:type="dxa" w:w="100"/>
              <w:bottom w:type="dxa" w:w="80"/>
              <w:right w:type="dxa" w:w="100"/>
            </w:tcMar>
          </w:tcPr>
          <w:p>
            <w:pPr>
              <w:jc w:val="center"/>
            </w:pPr>
            <w:r>
              <w:rPr>
                <w:b w:val="false"/>
                <w:bCs w:val="false"/>
                <w:color w:val="000000"/>
              </w:rPr>
              <w:t xml:space="preserve">70%</w:t>
            </w:r>
          </w:p>
        </w:tc>
        <w:tc>
          <w:tcPr>
            <w:tcW w:type="dxa" w:w="2000"/>
            <w:shd w:fill="F2F2F2" w:val="clear"/>
            <w:tcMar>
              <w:top w:type="dxa" w:w="80"/>
              <w:left w:type="dxa" w:w="100"/>
              <w:bottom w:type="dxa" w:w="80"/>
              <w:right w:type="dxa" w:w="100"/>
            </w:tcMar>
          </w:tcPr>
          <w:p>
            <w:pPr>
              <w:jc w:val="center"/>
            </w:pPr>
            <w:r>
              <w:rPr>
                <w:b w:val="false"/>
                <w:bCs w:val="false"/>
                <w:color w:val="000000"/>
              </w:rPr>
              <w:t xml:space="preserve">85%</w:t>
            </w:r>
          </w:p>
        </w:tc>
        <w:tc>
          <w:tcPr>
            <w:tcW w:type="dxa" w:w="2000"/>
            <w:shd w:fill="F2F2F2" w:val="clear"/>
            <w:tcMar>
              <w:top w:type="dxa" w:w="80"/>
              <w:left w:type="dxa" w:w="100"/>
              <w:bottom w:type="dxa" w:w="80"/>
              <w:right w:type="dxa" w:w="100"/>
            </w:tcMar>
          </w:tcPr>
          <w:p>
            <w:pPr>
              <w:jc w:val="center"/>
            </w:pPr>
            <w:r>
              <w:rPr>
                <w:b w:val="false"/>
                <w:bCs w:val="false"/>
                <w:color w:val="000000"/>
              </w:rPr>
              <w:t xml:space="preserve">95%</w:t>
            </w:r>
          </w:p>
        </w:tc>
      </w:tr>
      <w:tr>
        <w:tc>
          <w:tcPr>
            <w:tcW w:type="dxa" w:w="3900"/>
            <w:tcMar>
              <w:top w:type="dxa" w:w="80"/>
              <w:left w:type="dxa" w:w="100"/>
              <w:bottom w:type="dxa" w:w="80"/>
              <w:right w:type="dxa" w:w="100"/>
            </w:tcMar>
          </w:tcPr>
          <w:p>
            <w:pPr>
              <w:jc w:val="left"/>
            </w:pPr>
            <w:r>
              <w:rPr>
                <w:b/>
                <w:bCs/>
                <w:color w:val="000000"/>
              </w:rPr>
              <w:t xml:space="preserve">Precio suscripción/unidad/mes</w:t>
            </w:r>
          </w:p>
        </w:tc>
        <w:tc>
          <w:tcPr>
            <w:tcW w:type="dxa" w:w="2000"/>
            <w:tcMar>
              <w:top w:type="dxa" w:w="80"/>
              <w:left w:type="dxa" w:w="100"/>
              <w:bottom w:type="dxa" w:w="80"/>
              <w:right w:type="dxa" w:w="100"/>
            </w:tcMar>
          </w:tcPr>
          <w:p>
            <w:pPr>
              <w:jc w:val="center"/>
            </w:pPr>
            <w:r>
              <w:rPr>
                <w:b w:val="false"/>
                <w:bCs w:val="false"/>
                <w:color w:val="000000"/>
              </w:rPr>
              <w:t xml:space="preserve">$120</w:t>
            </w:r>
          </w:p>
        </w:tc>
        <w:tc>
          <w:tcPr>
            <w:tcW w:type="dxa" w:w="2000"/>
            <w:tcMar>
              <w:top w:type="dxa" w:w="80"/>
              <w:left w:type="dxa" w:w="100"/>
              <w:bottom w:type="dxa" w:w="80"/>
              <w:right w:type="dxa" w:w="100"/>
            </w:tcMar>
          </w:tcPr>
          <w:p>
            <w:pPr>
              <w:jc w:val="center"/>
            </w:pPr>
            <w:r>
              <w:rPr>
                <w:b w:val="false"/>
                <w:bCs w:val="false"/>
                <w:color w:val="000000"/>
              </w:rPr>
              <w:t xml:space="preserve">$150</w:t>
            </w:r>
          </w:p>
        </w:tc>
        <w:tc>
          <w:tcPr>
            <w:tcW w:type="dxa" w:w="2000"/>
            <w:tcMar>
              <w:top w:type="dxa" w:w="80"/>
              <w:left w:type="dxa" w:w="100"/>
              <w:bottom w:type="dxa" w:w="80"/>
              <w:right w:type="dxa" w:w="100"/>
            </w:tcMar>
          </w:tcPr>
          <w:p>
            <w:pPr>
              <w:jc w:val="center"/>
            </w:pPr>
            <w:r>
              <w:rPr>
                <w:b w:val="false"/>
                <w:bCs w:val="false"/>
                <w:color w:val="000000"/>
              </w:rPr>
              <w:t xml:space="preserve">$190</w:t>
            </w:r>
          </w:p>
        </w:tc>
      </w:tr>
      <w:tr>
        <w:tc>
          <w:tcPr>
            <w:tcW w:type="dxa" w:w="3900"/>
            <w:shd w:fill="F2F2F2" w:val="clear"/>
            <w:tcMar>
              <w:top w:type="dxa" w:w="80"/>
              <w:left w:type="dxa" w:w="100"/>
              <w:bottom w:type="dxa" w:w="80"/>
              <w:right w:type="dxa" w:w="100"/>
            </w:tcMar>
          </w:tcPr>
          <w:p>
            <w:pPr>
              <w:jc w:val="left"/>
            </w:pPr>
            <w:r>
              <w:rPr>
                <w:b/>
                <w:bCs/>
                <w:color w:val="000000"/>
              </w:rPr>
              <w:t xml:space="preserve">Churn mensual (rutas)</w:t>
            </w:r>
          </w:p>
        </w:tc>
        <w:tc>
          <w:tcPr>
            <w:tcW w:type="dxa" w:w="2000"/>
            <w:shd w:fill="F2F2F2" w:val="clear"/>
            <w:tcMar>
              <w:top w:type="dxa" w:w="80"/>
              <w:left w:type="dxa" w:w="100"/>
              <w:bottom w:type="dxa" w:w="80"/>
              <w:right w:type="dxa" w:w="100"/>
            </w:tcMar>
          </w:tcPr>
          <w:p>
            <w:pPr>
              <w:jc w:val="center"/>
            </w:pPr>
            <w:r>
              <w:rPr>
                <w:b w:val="false"/>
                <w:bCs w:val="false"/>
                <w:color w:val="000000"/>
              </w:rPr>
              <w:t xml:space="preserve">3.0%</w:t>
            </w:r>
          </w:p>
        </w:tc>
        <w:tc>
          <w:tcPr>
            <w:tcW w:type="dxa" w:w="2000"/>
            <w:shd w:fill="F2F2F2" w:val="clear"/>
            <w:tcMar>
              <w:top w:type="dxa" w:w="80"/>
              <w:left w:type="dxa" w:w="100"/>
              <w:bottom w:type="dxa" w:w="80"/>
              <w:right w:type="dxa" w:w="100"/>
            </w:tcMar>
          </w:tcPr>
          <w:p>
            <w:pPr>
              <w:jc w:val="center"/>
            </w:pPr>
            <w:r>
              <w:rPr>
                <w:b w:val="false"/>
                <w:bCs w:val="false"/>
                <w:color w:val="000000"/>
              </w:rPr>
              <w:t xml:space="preserve">1.5%</w:t>
            </w:r>
          </w:p>
        </w:tc>
        <w:tc>
          <w:tcPr>
            <w:tcW w:type="dxa" w:w="2000"/>
            <w:shd w:fill="F2F2F2" w:val="clear"/>
            <w:tcMar>
              <w:top w:type="dxa" w:w="80"/>
              <w:left w:type="dxa" w:w="100"/>
              <w:bottom w:type="dxa" w:w="80"/>
              <w:right w:type="dxa" w:w="100"/>
            </w:tcMar>
          </w:tcPr>
          <w:p>
            <w:pPr>
              <w:jc w:val="center"/>
            </w:pPr>
            <w:r>
              <w:rPr>
                <w:b w:val="false"/>
                <w:bCs w:val="false"/>
                <w:color w:val="000000"/>
              </w:rPr>
              <w:t xml:space="preserve">0.5%</w:t>
            </w:r>
          </w:p>
        </w:tc>
      </w:tr>
      <w:tr>
        <w:tc>
          <w:tcPr>
            <w:tcW w:type="dxa" w:w="3900"/>
            <w:tcMar>
              <w:top w:type="dxa" w:w="80"/>
              <w:left w:type="dxa" w:w="100"/>
              <w:bottom w:type="dxa" w:w="80"/>
              <w:right w:type="dxa" w:w="100"/>
            </w:tcMar>
          </w:tcPr>
          <w:p>
            <w:pPr>
              <w:jc w:val="left"/>
            </w:pPr>
            <w:r>
              <w:rPr>
                <w:b/>
                <w:bCs/>
                <w:color w:val="000000"/>
              </w:rPr>
              <w:t xml:space="preserve">Tasa de captura de multas</w:t>
            </w:r>
          </w:p>
        </w:tc>
        <w:tc>
          <w:tcPr>
            <w:tcW w:type="dxa" w:w="2000"/>
            <w:tcMar>
              <w:top w:type="dxa" w:w="80"/>
              <w:left w:type="dxa" w:w="100"/>
              <w:bottom w:type="dxa" w:w="80"/>
              <w:right w:type="dxa" w:w="100"/>
            </w:tcMar>
          </w:tcPr>
          <w:p>
            <w:pPr>
              <w:jc w:val="center"/>
            </w:pPr>
            <w:r>
              <w:rPr>
                <w:b w:val="false"/>
                <w:bCs w:val="false"/>
                <w:color w:val="000000"/>
              </w:rPr>
              <w:t xml:space="preserve">25%</w:t>
            </w:r>
          </w:p>
        </w:tc>
        <w:tc>
          <w:tcPr>
            <w:tcW w:type="dxa" w:w="2000"/>
            <w:tcMar>
              <w:top w:type="dxa" w:w="80"/>
              <w:left w:type="dxa" w:w="100"/>
              <w:bottom w:type="dxa" w:w="80"/>
              <w:right w:type="dxa" w:w="100"/>
            </w:tcMar>
          </w:tcPr>
          <w:p>
            <w:pPr>
              <w:jc w:val="center"/>
            </w:pPr>
            <w:r>
              <w:rPr>
                <w:b w:val="false"/>
                <w:bCs w:val="false"/>
                <w:color w:val="000000"/>
              </w:rPr>
              <w:t xml:space="preserve">40%</w:t>
            </w:r>
          </w:p>
        </w:tc>
        <w:tc>
          <w:tcPr>
            <w:tcW w:type="dxa" w:w="2000"/>
            <w:tcMar>
              <w:top w:type="dxa" w:w="80"/>
              <w:left w:type="dxa" w:w="100"/>
              <w:bottom w:type="dxa" w:w="80"/>
              <w:right w:type="dxa" w:w="100"/>
            </w:tcMar>
          </w:tcPr>
          <w:p>
            <w:pPr>
              <w:jc w:val="center"/>
            </w:pPr>
            <w:r>
              <w:rPr>
                <w:b w:val="false"/>
                <w:bCs w:val="false"/>
                <w:color w:val="000000"/>
              </w:rPr>
              <w:t xml:space="preserve">55%</w:t>
            </w:r>
          </w:p>
        </w:tc>
      </w:tr>
      <w:tr>
        <w:tc>
          <w:tcPr>
            <w:tcW w:type="dxa" w:w="3900"/>
            <w:shd w:fill="F2F2F2" w:val="clear"/>
            <w:tcMar>
              <w:top w:type="dxa" w:w="80"/>
              <w:left w:type="dxa" w:w="100"/>
              <w:bottom w:type="dxa" w:w="80"/>
              <w:right w:type="dxa" w:w="100"/>
            </w:tcMar>
          </w:tcPr>
          <w:p>
            <w:pPr>
              <w:jc w:val="left"/>
            </w:pPr>
            <w:r>
              <w:rPr>
                <w:b/>
                <w:bCs/>
                <w:color w:val="000000"/>
              </w:rPr>
              <w:t xml:space="preserve">Multa promedio por infracción</w:t>
            </w:r>
          </w:p>
        </w:tc>
        <w:tc>
          <w:tcPr>
            <w:tcW w:type="dxa" w:w="2000"/>
            <w:shd w:fill="F2F2F2" w:val="clear"/>
            <w:tcMar>
              <w:top w:type="dxa" w:w="80"/>
              <w:left w:type="dxa" w:w="100"/>
              <w:bottom w:type="dxa" w:w="80"/>
              <w:right w:type="dxa" w:w="100"/>
            </w:tcMar>
          </w:tcPr>
          <w:p>
            <w:pPr>
              <w:jc w:val="center"/>
            </w:pPr>
            <w:r>
              <w:rPr>
                <w:b w:val="false"/>
                <w:bCs w:val="false"/>
                <w:color w:val="000000"/>
              </w:rPr>
              <w:t xml:space="preserve">$40</w:t>
            </w:r>
          </w:p>
        </w:tc>
        <w:tc>
          <w:tcPr>
            <w:tcW w:type="dxa" w:w="2000"/>
            <w:shd w:fill="F2F2F2" w:val="clear"/>
            <w:tcMar>
              <w:top w:type="dxa" w:w="80"/>
              <w:left w:type="dxa" w:w="100"/>
              <w:bottom w:type="dxa" w:w="80"/>
              <w:right w:type="dxa" w:w="100"/>
            </w:tcMar>
          </w:tcPr>
          <w:p>
            <w:pPr>
              <w:jc w:val="center"/>
            </w:pPr>
            <w:r>
              <w:rPr>
                <w:b w:val="false"/>
                <w:bCs w:val="false"/>
                <w:color w:val="000000"/>
              </w:rPr>
              <w:t xml:space="preserve">$50</w:t>
            </w:r>
          </w:p>
        </w:tc>
        <w:tc>
          <w:tcPr>
            <w:tcW w:type="dxa" w:w="2000"/>
            <w:shd w:fill="F2F2F2" w:val="clear"/>
            <w:tcMar>
              <w:top w:type="dxa" w:w="80"/>
              <w:left w:type="dxa" w:w="100"/>
              <w:bottom w:type="dxa" w:w="80"/>
              <w:right w:type="dxa" w:w="100"/>
            </w:tcMar>
          </w:tcPr>
          <w:p>
            <w:pPr>
              <w:jc w:val="center"/>
            </w:pPr>
            <w:r>
              <w:rPr>
                <w:b w:val="false"/>
                <w:bCs w:val="false"/>
                <w:color w:val="000000"/>
              </w:rPr>
              <w:t xml:space="preserve">$65</w:t>
            </w:r>
          </w:p>
        </w:tc>
      </w:tr>
    </w:tbl>
    <w:p>
      <w:pPr>
        <w:spacing w:after="200"/>
      </w:pPr>
    </w:p>
    <w:p>
      <w:pPr>
        <w:pStyle w:val="Heading1"/>
        <w:spacing w:after="150" w:before="300"/>
      </w:pPr>
      <w:r>
        <w:t xml:space="preserve">4. Resultados por Escenario (36 meses)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2100"/>
        <w:gridCol w:w="2100"/>
        <w:gridCol w:w="2100"/>
      </w:tblGrid>
      <w:tr>
        <w:tc>
          <w:tcPr>
            <w:tcW w:type="dxa" w:w="3600"/>
            <w:shd w:fill="1F3864" w:val="clear"/>
            <w:tcMar>
              <w:top w:type="dxa" w:w="80"/>
              <w:left w:type="dxa" w:w="100"/>
              <w:bottom w:type="dxa" w:w="80"/>
              <w:right w:type="dxa" w:w="100"/>
            </w:tcMar>
          </w:tcPr>
          <w:p>
            <w:pPr>
              <w:jc w:val="left"/>
            </w:pPr>
            <w:r>
              <w:rPr>
                <w:b/>
                <w:bCs/>
                <w:color w:val="FFFFFF"/>
              </w:rPr>
              <w:t xml:space="preserve"/>
            </w:r>
          </w:p>
        </w:tc>
        <w:tc>
          <w:tcPr>
            <w:tcW w:type="dxa" w:w="2100"/>
            <w:shd w:fill="1F3864" w:val="clear"/>
            <w:tcMar>
              <w:top w:type="dxa" w:w="80"/>
              <w:left w:type="dxa" w:w="100"/>
              <w:bottom w:type="dxa" w:w="80"/>
              <w:right w:type="dxa" w:w="100"/>
            </w:tcMar>
          </w:tcPr>
          <w:p>
            <w:pPr>
              <w:jc w:val="center"/>
            </w:pPr>
            <w:r>
              <w:rPr>
                <w:b/>
                <w:bCs/>
                <w:color w:val="FFFFFF"/>
              </w:rPr>
              <w:t xml:space="preserve">Conservador</w:t>
            </w:r>
          </w:p>
        </w:tc>
        <w:tc>
          <w:tcPr>
            <w:tcW w:type="dxa" w:w="2100"/>
            <w:shd w:fill="1F3864" w:val="clear"/>
            <w:tcMar>
              <w:top w:type="dxa" w:w="80"/>
              <w:left w:type="dxa" w:w="100"/>
              <w:bottom w:type="dxa" w:w="80"/>
              <w:right w:type="dxa" w:w="100"/>
            </w:tcMar>
          </w:tcPr>
          <w:p>
            <w:pPr>
              <w:jc w:val="center"/>
            </w:pPr>
            <w:r>
              <w:rPr>
                <w:b/>
                <w:bCs/>
                <w:color w:val="FFFFFF"/>
              </w:rPr>
              <w:t xml:space="preserve">Base</w:t>
            </w:r>
          </w:p>
        </w:tc>
        <w:tc>
          <w:tcPr>
            <w:tcW w:type="dxa" w:w="2100"/>
            <w:shd w:fill="1F3864" w:val="clear"/>
            <w:tcMar>
              <w:top w:type="dxa" w:w="80"/>
              <w:left w:type="dxa" w:w="100"/>
              <w:bottom w:type="dxa" w:w="80"/>
              <w:right w:type="dxa" w:w="100"/>
            </w:tcMar>
          </w:tcPr>
          <w:p>
            <w:pPr>
              <w:jc w:val="center"/>
            </w:pPr>
            <w:r>
              <w:rPr>
                <w:b/>
                <w:bCs/>
                <w:color w:val="FFFFFF"/>
              </w:rPr>
              <w:t xml:space="preserve">Optimista</w:t>
            </w:r>
          </w:p>
        </w:tc>
      </w:tr>
      <w:tr>
        <w:tc>
          <w:tcPr>
            <w:tcW w:type="dxa" w:w="3600"/>
            <w:tcMar>
              <w:top w:type="dxa" w:w="80"/>
              <w:left w:type="dxa" w:w="100"/>
              <w:bottom w:type="dxa" w:w="80"/>
              <w:right w:type="dxa" w:w="100"/>
            </w:tcMar>
          </w:tcPr>
          <w:p>
            <w:pPr>
              <w:jc w:val="left"/>
            </w:pPr>
            <w:r>
              <w:rPr>
                <w:b/>
                <w:bCs/>
                <w:color w:val="000000"/>
              </w:rPr>
              <w:t xml:space="preserve">Ingreso Total (36 meses)</w:t>
            </w:r>
          </w:p>
        </w:tc>
        <w:tc>
          <w:tcPr>
            <w:tcW w:type="dxa" w:w="2100"/>
            <w:tcMar>
              <w:top w:type="dxa" w:w="80"/>
              <w:left w:type="dxa" w:w="100"/>
              <w:bottom w:type="dxa" w:w="80"/>
              <w:right w:type="dxa" w:w="100"/>
            </w:tcMar>
          </w:tcPr>
          <w:p>
            <w:pPr>
              <w:jc w:val="center"/>
            </w:pPr>
            <w:r>
              <w:rPr>
                <w:b w:val="false"/>
                <w:bCs w:val="false"/>
                <w:color w:val="000000"/>
              </w:rPr>
              <w:t xml:space="preserve">$511,178</w:t>
            </w:r>
          </w:p>
        </w:tc>
        <w:tc>
          <w:tcPr>
            <w:tcW w:type="dxa" w:w="2100"/>
            <w:tcMar>
              <w:top w:type="dxa" w:w="80"/>
              <w:left w:type="dxa" w:w="100"/>
              <w:bottom w:type="dxa" w:w="80"/>
              <w:right w:type="dxa" w:w="100"/>
            </w:tcMar>
          </w:tcPr>
          <w:p>
            <w:pPr>
              <w:jc w:val="center"/>
            </w:pPr>
            <w:r>
              <w:rPr>
                <w:b w:val="false"/>
                <w:bCs w:val="false"/>
                <w:color w:val="000000"/>
              </w:rPr>
              <w:t xml:space="preserve">$3,842,673</w:t>
            </w:r>
          </w:p>
        </w:tc>
        <w:tc>
          <w:tcPr>
            <w:tcW w:type="dxa" w:w="2100"/>
            <w:tcMar>
              <w:top w:type="dxa" w:w="80"/>
              <w:left w:type="dxa" w:w="100"/>
              <w:bottom w:type="dxa" w:w="80"/>
              <w:right w:type="dxa" w:w="100"/>
            </w:tcMar>
          </w:tcPr>
          <w:p>
            <w:pPr>
              <w:jc w:val="center"/>
            </w:pPr>
            <w:r>
              <w:rPr>
                <w:b w:val="false"/>
                <w:bCs w:val="false"/>
                <w:color w:val="000000"/>
              </w:rPr>
              <w:t xml:space="preserve">$19,929,907</w:t>
            </w:r>
          </w:p>
        </w:tc>
      </w:tr>
      <w:tr>
        <w:tc>
          <w:tcPr>
            <w:tcW w:type="dxa" w:w="3600"/>
            <w:shd w:fill="F2F2F2" w:val="clear"/>
            <w:tcMar>
              <w:top w:type="dxa" w:w="80"/>
              <w:left w:type="dxa" w:w="100"/>
              <w:bottom w:type="dxa" w:w="80"/>
              <w:right w:type="dxa" w:w="100"/>
            </w:tcMar>
          </w:tcPr>
          <w:p>
            <w:pPr>
              <w:jc w:val="left"/>
            </w:pPr>
            <w:r>
              <w:rPr>
                <w:b w:val="false"/>
                <w:bCs w:val="false"/>
                <w:color w:val="000000"/>
              </w:rPr>
              <w:t xml:space="preserve">  — % vía Suscripción</w:t>
            </w:r>
          </w:p>
        </w:tc>
        <w:tc>
          <w:tcPr>
            <w:tcW w:type="dxa" w:w="2100"/>
            <w:shd w:fill="F2F2F2" w:val="clear"/>
            <w:tcMar>
              <w:top w:type="dxa" w:w="80"/>
              <w:left w:type="dxa" w:w="100"/>
              <w:bottom w:type="dxa" w:w="80"/>
              <w:right w:type="dxa" w:w="100"/>
            </w:tcMar>
          </w:tcPr>
          <w:p>
            <w:pPr>
              <w:jc w:val="center"/>
            </w:pPr>
            <w:r>
              <w:rPr>
                <w:b w:val="false"/>
                <w:bCs w:val="false"/>
                <w:color w:val="000000"/>
              </w:rPr>
              <w:t xml:space="preserve">37.5%</w:t>
            </w:r>
          </w:p>
        </w:tc>
        <w:tc>
          <w:tcPr>
            <w:tcW w:type="dxa" w:w="2100"/>
            <w:shd w:fill="F2F2F2" w:val="clear"/>
            <w:tcMar>
              <w:top w:type="dxa" w:w="80"/>
              <w:left w:type="dxa" w:w="100"/>
              <w:bottom w:type="dxa" w:w="80"/>
              <w:right w:type="dxa" w:w="100"/>
            </w:tcMar>
          </w:tcPr>
          <w:p>
            <w:pPr>
              <w:jc w:val="center"/>
            </w:pPr>
            <w:r>
              <w:rPr>
                <w:b w:val="false"/>
                <w:bCs w:val="false"/>
                <w:color w:val="000000"/>
              </w:rPr>
              <w:t xml:space="preserve">19.4%</w:t>
            </w:r>
          </w:p>
        </w:tc>
        <w:tc>
          <w:tcPr>
            <w:tcW w:type="dxa" w:w="2100"/>
            <w:shd w:fill="F2F2F2" w:val="clear"/>
            <w:tcMar>
              <w:top w:type="dxa" w:w="80"/>
              <w:left w:type="dxa" w:w="100"/>
              <w:bottom w:type="dxa" w:w="80"/>
              <w:right w:type="dxa" w:w="100"/>
            </w:tcMar>
          </w:tcPr>
          <w:p>
            <w:pPr>
              <w:jc w:val="center"/>
            </w:pPr>
            <w:r>
              <w:rPr>
                <w:b w:val="false"/>
                <w:bCs w:val="false"/>
                <w:color w:val="000000"/>
              </w:rPr>
              <w:t xml:space="preserve">11.0%</w:t>
            </w:r>
          </w:p>
        </w:tc>
      </w:tr>
      <w:tr>
        <w:tc>
          <w:tcPr>
            <w:tcW w:type="dxa" w:w="3600"/>
            <w:tcMar>
              <w:top w:type="dxa" w:w="80"/>
              <w:left w:type="dxa" w:w="100"/>
              <w:bottom w:type="dxa" w:w="80"/>
              <w:right w:type="dxa" w:w="100"/>
            </w:tcMar>
          </w:tcPr>
          <w:p>
            <w:pPr>
              <w:jc w:val="left"/>
            </w:pPr>
            <w:r>
              <w:rPr>
                <w:b w:val="false"/>
                <w:bCs w:val="false"/>
                <w:color w:val="000000"/>
              </w:rPr>
              <w:t xml:space="preserve">  — % vía Multas</w:t>
            </w:r>
          </w:p>
        </w:tc>
        <w:tc>
          <w:tcPr>
            <w:tcW w:type="dxa" w:w="2100"/>
            <w:tcMar>
              <w:top w:type="dxa" w:w="80"/>
              <w:left w:type="dxa" w:w="100"/>
              <w:bottom w:type="dxa" w:w="80"/>
              <w:right w:type="dxa" w:w="100"/>
            </w:tcMar>
          </w:tcPr>
          <w:p>
            <w:pPr>
              <w:jc w:val="center"/>
            </w:pPr>
            <w:r>
              <w:rPr>
                <w:b w:val="false"/>
                <w:bCs w:val="false"/>
                <w:color w:val="000000"/>
              </w:rPr>
              <w:t xml:space="preserve">62.5%</w:t>
            </w:r>
          </w:p>
        </w:tc>
        <w:tc>
          <w:tcPr>
            <w:tcW w:type="dxa" w:w="2100"/>
            <w:tcMar>
              <w:top w:type="dxa" w:w="80"/>
              <w:left w:type="dxa" w:w="100"/>
              <w:bottom w:type="dxa" w:w="80"/>
              <w:right w:type="dxa" w:w="100"/>
            </w:tcMar>
          </w:tcPr>
          <w:p>
            <w:pPr>
              <w:jc w:val="center"/>
            </w:pPr>
            <w:r>
              <w:rPr>
                <w:b w:val="false"/>
                <w:bCs w:val="false"/>
                <w:color w:val="000000"/>
              </w:rPr>
              <w:t xml:space="preserve">80.6%</w:t>
            </w:r>
          </w:p>
        </w:tc>
        <w:tc>
          <w:tcPr>
            <w:tcW w:type="dxa" w:w="2100"/>
            <w:tcMar>
              <w:top w:type="dxa" w:w="80"/>
              <w:left w:type="dxa" w:w="100"/>
              <w:bottom w:type="dxa" w:w="80"/>
              <w:right w:type="dxa" w:w="100"/>
            </w:tcMar>
          </w:tcPr>
          <w:p>
            <w:pPr>
              <w:jc w:val="center"/>
            </w:pPr>
            <w:r>
              <w:rPr>
                <w:b w:val="false"/>
                <w:bCs w:val="false"/>
                <w:color w:val="000000"/>
              </w:rPr>
              <w:t xml:space="preserve">89.0%</w:t>
            </w:r>
          </w:p>
        </w:tc>
      </w:tr>
      <w:tr>
        <w:tc>
          <w:tcPr>
            <w:tcW w:type="dxa" w:w="3600"/>
            <w:shd w:fill="F2F2F2" w:val="clear"/>
            <w:tcMar>
              <w:top w:type="dxa" w:w="80"/>
              <w:left w:type="dxa" w:w="100"/>
              <w:bottom w:type="dxa" w:w="80"/>
              <w:right w:type="dxa" w:w="100"/>
            </w:tcMar>
          </w:tcPr>
          <w:p>
            <w:pPr>
              <w:jc w:val="left"/>
            </w:pPr>
            <w:r>
              <w:rPr>
                <w:b/>
                <w:bCs/>
                <w:color w:val="000000"/>
              </w:rPr>
              <w:t xml:space="preserve">OPEX Total (36 meses)</w:t>
            </w:r>
          </w:p>
        </w:tc>
        <w:tc>
          <w:tcPr>
            <w:tcW w:type="dxa" w:w="2100"/>
            <w:shd w:fill="F2F2F2" w:val="clear"/>
            <w:tcMar>
              <w:top w:type="dxa" w:w="80"/>
              <w:left w:type="dxa" w:w="100"/>
              <w:bottom w:type="dxa" w:w="80"/>
              <w:right w:type="dxa" w:w="100"/>
            </w:tcMar>
          </w:tcPr>
          <w:p>
            <w:pPr>
              <w:jc w:val="center"/>
            </w:pPr>
            <w:r>
              <w:rPr>
                <w:b w:val="false"/>
                <w:bCs w:val="false"/>
                <w:color w:val="000000"/>
              </w:rPr>
              <w:t xml:space="preserve">$1,553,059</w:t>
            </w:r>
          </w:p>
        </w:tc>
        <w:tc>
          <w:tcPr>
            <w:tcW w:type="dxa" w:w="2100"/>
            <w:shd w:fill="F2F2F2" w:val="clear"/>
            <w:tcMar>
              <w:top w:type="dxa" w:w="80"/>
              <w:left w:type="dxa" w:w="100"/>
              <w:bottom w:type="dxa" w:w="80"/>
              <w:right w:type="dxa" w:w="100"/>
            </w:tcMar>
          </w:tcPr>
          <w:p>
            <w:pPr>
              <w:jc w:val="center"/>
            </w:pPr>
            <w:r>
              <w:rPr>
                <w:b w:val="false"/>
                <w:bCs w:val="false"/>
                <w:color w:val="000000"/>
              </w:rPr>
              <w:t xml:space="preserve">$1,613,177</w:t>
            </w:r>
          </w:p>
        </w:tc>
        <w:tc>
          <w:tcPr>
            <w:tcW w:type="dxa" w:w="2100"/>
            <w:shd w:fill="F2F2F2" w:val="clear"/>
            <w:tcMar>
              <w:top w:type="dxa" w:w="80"/>
              <w:left w:type="dxa" w:w="100"/>
              <w:bottom w:type="dxa" w:w="80"/>
              <w:right w:type="dxa" w:w="100"/>
            </w:tcMar>
          </w:tcPr>
          <w:p>
            <w:pPr>
              <w:jc w:val="center"/>
            </w:pPr>
            <w:r>
              <w:rPr>
                <w:b w:val="false"/>
                <w:bCs w:val="false"/>
                <w:color w:val="000000"/>
              </w:rPr>
              <w:t xml:space="preserve">$1,528,568</w:t>
            </w:r>
          </w:p>
        </w:tc>
      </w:tr>
      <w:tr>
        <w:tc>
          <w:tcPr>
            <w:tcW w:type="dxa" w:w="3600"/>
            <w:tcMar>
              <w:top w:type="dxa" w:w="80"/>
              <w:left w:type="dxa" w:w="100"/>
              <w:bottom w:type="dxa" w:w="80"/>
              <w:right w:type="dxa" w:w="100"/>
            </w:tcMar>
          </w:tcPr>
          <w:p>
            <w:pPr>
              <w:jc w:val="left"/>
            </w:pPr>
            <w:r>
              <w:rPr>
                <w:b/>
                <w:bCs/>
                <w:color w:val="000000"/>
              </w:rPr>
              <w:t xml:space="preserve">EBITDA Total (36 meses)</w:t>
            </w:r>
          </w:p>
        </w:tc>
        <w:tc>
          <w:tcPr>
            <w:tcW w:type="dxa" w:w="2100"/>
            <w:tcMar>
              <w:top w:type="dxa" w:w="80"/>
              <w:left w:type="dxa" w:w="100"/>
              <w:bottom w:type="dxa" w:w="80"/>
              <w:right w:type="dxa" w:w="100"/>
            </w:tcMar>
          </w:tcPr>
          <w:p>
            <w:pPr>
              <w:jc w:val="center"/>
            </w:pPr>
            <w:r>
              <w:rPr>
                <w:b w:val="false"/>
                <w:bCs w:val="false"/>
                <w:color w:val="C00000"/>
              </w:rPr>
              <w:t xml:space="preserve">-$1,041,881</w:t>
            </w:r>
          </w:p>
        </w:tc>
        <w:tc>
          <w:tcPr>
            <w:tcW w:type="dxa" w:w="2100"/>
            <w:tcMar>
              <w:top w:type="dxa" w:w="80"/>
              <w:left w:type="dxa" w:w="100"/>
              <w:bottom w:type="dxa" w:w="80"/>
              <w:right w:type="dxa" w:w="100"/>
            </w:tcMar>
          </w:tcPr>
          <w:p>
            <w:pPr>
              <w:jc w:val="center"/>
            </w:pPr>
            <w:r>
              <w:rPr>
                <w:b w:val="false"/>
                <w:bCs w:val="false"/>
                <w:color w:val="000000"/>
              </w:rPr>
              <w:t xml:space="preserve">$2,229,497</w:t>
            </w:r>
          </w:p>
        </w:tc>
        <w:tc>
          <w:tcPr>
            <w:tcW w:type="dxa" w:w="2100"/>
            <w:tcMar>
              <w:top w:type="dxa" w:w="80"/>
              <w:left w:type="dxa" w:w="100"/>
              <w:bottom w:type="dxa" w:w="80"/>
              <w:right w:type="dxa" w:w="100"/>
            </w:tcMar>
          </w:tcPr>
          <w:p>
            <w:pPr>
              <w:jc w:val="center"/>
            </w:pPr>
            <w:r>
              <w:rPr>
                <w:b w:val="false"/>
                <w:bCs w:val="false"/>
                <w:color w:val="000000"/>
              </w:rPr>
              <w:t xml:space="preserve">$18,401,340</w:t>
            </w:r>
          </w:p>
        </w:tc>
      </w:tr>
      <w:tr>
        <w:tc>
          <w:tcPr>
            <w:tcW w:type="dxa" w:w="3600"/>
            <w:shd w:fill="F2F2F2" w:val="clear"/>
            <w:tcMar>
              <w:top w:type="dxa" w:w="80"/>
              <w:left w:type="dxa" w:w="100"/>
              <w:bottom w:type="dxa" w:w="80"/>
              <w:right w:type="dxa" w:w="100"/>
            </w:tcMar>
          </w:tcPr>
          <w:p>
            <w:pPr>
              <w:jc w:val="left"/>
            </w:pPr>
            <w:r>
              <w:rPr>
                <w:b/>
                <w:bCs/>
                <w:color w:val="000000"/>
              </w:rPr>
              <w:t xml:space="preserve">CAPEX Inicial (MVP)</w:t>
            </w:r>
          </w:p>
        </w:tc>
        <w:tc>
          <w:tcPr>
            <w:tcW w:type="dxa" w:w="2100"/>
            <w:shd w:fill="F2F2F2" w:val="clear"/>
            <w:tcMar>
              <w:top w:type="dxa" w:w="80"/>
              <w:left w:type="dxa" w:w="100"/>
              <w:bottom w:type="dxa" w:w="80"/>
              <w:right w:type="dxa" w:w="100"/>
            </w:tcMar>
          </w:tcPr>
          <w:p>
            <w:pPr>
              <w:jc w:val="center"/>
            </w:pPr>
            <w:r>
              <w:rPr>
                <w:b w:val="false"/>
                <w:bCs w:val="false"/>
                <w:color w:val="000000"/>
              </w:rPr>
              <w:t xml:space="preserve">$588,000</w:t>
            </w:r>
          </w:p>
        </w:tc>
        <w:tc>
          <w:tcPr>
            <w:tcW w:type="dxa" w:w="2100"/>
            <w:shd w:fill="F2F2F2" w:val="clear"/>
            <w:tcMar>
              <w:top w:type="dxa" w:w="80"/>
              <w:left w:type="dxa" w:w="100"/>
              <w:bottom w:type="dxa" w:w="80"/>
              <w:right w:type="dxa" w:w="100"/>
            </w:tcMar>
          </w:tcPr>
          <w:p>
            <w:pPr>
              <w:jc w:val="center"/>
            </w:pPr>
            <w:r>
              <w:rPr>
                <w:b w:val="false"/>
                <w:bCs w:val="false"/>
                <w:color w:val="000000"/>
              </w:rPr>
              <w:t xml:space="preserve">$675,000</w:t>
            </w:r>
          </w:p>
        </w:tc>
        <w:tc>
          <w:tcPr>
            <w:tcW w:type="dxa" w:w="2100"/>
            <w:shd w:fill="F2F2F2" w:val="clear"/>
            <w:tcMar>
              <w:top w:type="dxa" w:w="80"/>
              <w:left w:type="dxa" w:w="100"/>
              <w:bottom w:type="dxa" w:w="80"/>
              <w:right w:type="dxa" w:w="100"/>
            </w:tcMar>
          </w:tcPr>
          <w:p>
            <w:pPr>
              <w:jc w:val="center"/>
            </w:pPr>
            <w:r>
              <w:rPr>
                <w:b w:val="false"/>
                <w:bCs w:val="false"/>
                <w:color w:val="000000"/>
              </w:rPr>
              <w:t xml:space="preserve">$762,000</w:t>
            </w:r>
          </w:p>
        </w:tc>
      </w:tr>
      <w:tr>
        <w:tc>
          <w:tcPr>
            <w:tcW w:type="dxa" w:w="3600"/>
            <w:tcMar>
              <w:top w:type="dxa" w:w="80"/>
              <w:left w:type="dxa" w:w="100"/>
              <w:bottom w:type="dxa" w:w="80"/>
              <w:right w:type="dxa" w:w="100"/>
            </w:tcMar>
          </w:tcPr>
          <w:p>
            <w:pPr>
              <w:jc w:val="left"/>
            </w:pPr>
            <w:r>
              <w:rPr>
                <w:b/>
                <w:bCs/>
                <w:color w:val="000000"/>
              </w:rPr>
              <w:t xml:space="preserve">Flujo de Caja Acumulado — Mes 36</w:t>
            </w:r>
          </w:p>
        </w:tc>
        <w:tc>
          <w:tcPr>
            <w:tcW w:type="dxa" w:w="2100"/>
            <w:tcMar>
              <w:top w:type="dxa" w:w="80"/>
              <w:left w:type="dxa" w:w="100"/>
              <w:bottom w:type="dxa" w:w="80"/>
              <w:right w:type="dxa" w:w="100"/>
            </w:tcMar>
          </w:tcPr>
          <w:p>
            <w:pPr>
              <w:jc w:val="center"/>
            </w:pPr>
            <w:r>
              <w:rPr>
                <w:b w:val="false"/>
                <w:bCs w:val="false"/>
                <w:color w:val="C00000"/>
              </w:rPr>
              <w:t xml:space="preserve">-$1,629,881</w:t>
            </w:r>
          </w:p>
        </w:tc>
        <w:tc>
          <w:tcPr>
            <w:tcW w:type="dxa" w:w="2100"/>
            <w:tcMar>
              <w:top w:type="dxa" w:w="80"/>
              <w:left w:type="dxa" w:w="100"/>
              <w:bottom w:type="dxa" w:w="80"/>
              <w:right w:type="dxa" w:w="100"/>
            </w:tcMar>
          </w:tcPr>
          <w:p>
            <w:pPr>
              <w:jc w:val="center"/>
            </w:pPr>
            <w:r>
              <w:rPr>
                <w:b w:val="false"/>
                <w:bCs w:val="false"/>
                <w:color w:val="000000"/>
              </w:rPr>
              <w:t xml:space="preserve">$1,554,497</w:t>
            </w:r>
          </w:p>
        </w:tc>
        <w:tc>
          <w:tcPr>
            <w:tcW w:type="dxa" w:w="2100"/>
            <w:tcMar>
              <w:top w:type="dxa" w:w="80"/>
              <w:left w:type="dxa" w:w="100"/>
              <w:bottom w:type="dxa" w:w="80"/>
              <w:right w:type="dxa" w:w="100"/>
            </w:tcMar>
          </w:tcPr>
          <w:p>
            <w:pPr>
              <w:jc w:val="center"/>
            </w:pPr>
            <w:r>
              <w:rPr>
                <w:b w:val="false"/>
                <w:bCs w:val="false"/>
                <w:color w:val="000000"/>
              </w:rPr>
              <w:t xml:space="preserve">$17,639,340</w:t>
            </w:r>
          </w:p>
        </w:tc>
      </w:tr>
      <w:tr>
        <w:tc>
          <w:tcPr>
            <w:tcW w:type="dxa" w:w="3600"/>
            <w:shd w:fill="F2F2F2" w:val="clear"/>
            <w:tcMar>
              <w:top w:type="dxa" w:w="80"/>
              <w:left w:type="dxa" w:w="100"/>
              <w:bottom w:type="dxa" w:w="80"/>
              <w:right w:type="dxa" w:w="100"/>
            </w:tcMar>
          </w:tcPr>
          <w:p>
            <w:pPr>
              <w:jc w:val="left"/>
            </w:pPr>
            <w:r>
              <w:rPr>
                <w:b/>
                <w:bCs/>
                <w:color w:val="000000"/>
              </w:rPr>
              <w:t xml:space="preserve">Mes de Breakeven</w:t>
            </w:r>
          </w:p>
        </w:tc>
        <w:tc>
          <w:tcPr>
            <w:tcW w:type="dxa" w:w="2100"/>
            <w:shd w:fill="F2F2F2" w:val="clear"/>
            <w:tcMar>
              <w:top w:type="dxa" w:w="80"/>
              <w:left w:type="dxa" w:w="100"/>
              <w:bottom w:type="dxa" w:w="80"/>
              <w:right w:type="dxa" w:w="100"/>
            </w:tcMar>
          </w:tcPr>
          <w:p>
            <w:pPr>
              <w:jc w:val="center"/>
            </w:pPr>
            <w:r>
              <w:rPr>
                <w:b w:val="false"/>
                <w:bCs w:val="false"/>
                <w:color w:val="000000"/>
              </w:rPr>
              <w:t xml:space="preserve">No alcanzado en 36 meses</w:t>
            </w:r>
          </w:p>
        </w:tc>
        <w:tc>
          <w:tcPr>
            <w:tcW w:type="dxa" w:w="2100"/>
            <w:shd w:fill="F2F2F2" w:val="clear"/>
            <w:tcMar>
              <w:top w:type="dxa" w:w="80"/>
              <w:left w:type="dxa" w:w="100"/>
              <w:bottom w:type="dxa" w:w="80"/>
              <w:right w:type="dxa" w:w="100"/>
            </w:tcMar>
          </w:tcPr>
          <w:p>
            <w:pPr>
              <w:jc w:val="center"/>
            </w:pPr>
            <w:r>
              <w:rPr>
                <w:b w:val="false"/>
                <w:bCs w:val="false"/>
                <w:color w:val="000000"/>
              </w:rPr>
              <w:t xml:space="preserve">Mes 24</w:t>
            </w:r>
          </w:p>
        </w:tc>
        <w:tc>
          <w:tcPr>
            <w:tcW w:type="dxa" w:w="2100"/>
            <w:shd w:fill="F2F2F2" w:val="clear"/>
            <w:tcMar>
              <w:top w:type="dxa" w:w="80"/>
              <w:left w:type="dxa" w:w="100"/>
              <w:bottom w:type="dxa" w:w="80"/>
              <w:right w:type="dxa" w:w="100"/>
            </w:tcMar>
          </w:tcPr>
          <w:p>
            <w:pPr>
              <w:jc w:val="center"/>
            </w:pPr>
            <w:r>
              <w:rPr>
                <w:b w:val="false"/>
                <w:bCs w:val="false"/>
                <w:color w:val="000000"/>
              </w:rPr>
              <w:t xml:space="preserve">Mes 10</w:t>
            </w:r>
          </w:p>
        </w:tc>
      </w:tr>
      <w:tr>
        <w:tc>
          <w:tcPr>
            <w:tcW w:type="dxa" w:w="3600"/>
            <w:tcMar>
              <w:top w:type="dxa" w:w="80"/>
              <w:left w:type="dxa" w:w="100"/>
              <w:bottom w:type="dxa" w:w="80"/>
              <w:right w:type="dxa" w:w="100"/>
            </w:tcMar>
          </w:tcPr>
          <w:p>
            <w:pPr>
              <w:jc w:val="left"/>
            </w:pPr>
            <w:r>
              <w:rPr>
                <w:b/>
                <w:bCs/>
                <w:color w:val="000000"/>
              </w:rPr>
              <w:t xml:space="preserve">Rutas Activas — Mes 36</w:t>
            </w:r>
          </w:p>
        </w:tc>
        <w:tc>
          <w:tcPr>
            <w:tcW w:type="dxa" w:w="2100"/>
            <w:tcMar>
              <w:top w:type="dxa" w:w="80"/>
              <w:left w:type="dxa" w:w="100"/>
              <w:bottom w:type="dxa" w:w="80"/>
              <w:right w:type="dxa" w:w="100"/>
            </w:tcMar>
          </w:tcPr>
          <w:p>
            <w:pPr>
              <w:jc w:val="center"/>
            </w:pPr>
            <w:r>
              <w:rPr>
                <w:b w:val="false"/>
                <w:bCs w:val="false"/>
                <w:color w:val="000000"/>
              </w:rPr>
              <w:t xml:space="preserve">8.8</w:t>
            </w:r>
          </w:p>
        </w:tc>
        <w:tc>
          <w:tcPr>
            <w:tcW w:type="dxa" w:w="2100"/>
            <w:tcMar>
              <w:top w:type="dxa" w:w="80"/>
              <w:left w:type="dxa" w:w="100"/>
              <w:bottom w:type="dxa" w:w="80"/>
              <w:right w:type="dxa" w:w="100"/>
            </w:tcMar>
          </w:tcPr>
          <w:p>
            <w:pPr>
              <w:jc w:val="center"/>
            </w:pPr>
            <w:r>
              <w:rPr>
                <w:b w:val="false"/>
                <w:bCs w:val="false"/>
                <w:color w:val="000000"/>
              </w:rPr>
              <w:t xml:space="preserve">20.2</w:t>
            </w:r>
          </w:p>
        </w:tc>
        <w:tc>
          <w:tcPr>
            <w:tcW w:type="dxa" w:w="2100"/>
            <w:tcMar>
              <w:top w:type="dxa" w:w="80"/>
              <w:left w:type="dxa" w:w="100"/>
              <w:bottom w:type="dxa" w:w="80"/>
              <w:right w:type="dxa" w:w="100"/>
            </w:tcMar>
          </w:tcPr>
          <w:p>
            <w:pPr>
              <w:jc w:val="center"/>
            </w:pPr>
            <w:r>
              <w:rPr>
                <w:b w:val="false"/>
                <w:bCs w:val="false"/>
                <w:color w:val="000000"/>
              </w:rPr>
              <w:t xml:space="preserve">37.4</w:t>
            </w:r>
          </w:p>
        </w:tc>
      </w:tr>
    </w:tbl>
    <w:p>
      <w:pPr>
        <w:spacing w:after="200"/>
      </w:pPr>
    </w:p>
    <w:p>
      <w:pPr>
        <w:spacing w:after="160"/>
        <w:jc w:val="both"/>
      </w:pPr>
      <w:r>
        <w:t xml:space="preserve">El escenario Conservador no recupera la inversión dentro del horizonte de 36 meses y cierra con flujo acumulado negativo de aproximadamente -$1.63M MXN. El escenario Base alcanza el punto de equilibrio en el mes 24, con un flujo acumulado positivo de ~$1.55M MXN al cierre del periodo. El escenario Optimista revierte la inversión en solo 10 meses, generando un flujo acumulado de ~$17.6M MXN al mes 36 — pero depende de una tasa de captura de multas de 55% y una expansión a 60 rutas, ambos supuestos agresivos frente al contexto de resistencia sindical documentado en el estudio de mercado.</w:t>
      </w:r>
    </w:p>
    <w:p>
      <w:pPr>
        <w:pStyle w:val="Heading1"/>
        <w:spacing w:after="150" w:before="300"/>
      </w:pPr>
      <w:r>
        <w:t xml:space="preserve">5. Riesgo Central: Concentración en Multas</w:t>
      </w:r>
    </w:p>
    <w:p>
      <w:pPr>
        <w:spacing w:after="160"/>
        <w:jc w:val="both"/>
      </w:pPr>
      <w:r>
        <w:t xml:space="preserve">Un patrón se repite en los tres escenarios: la proporción del ingreso que proviene de multas AUMENTA a medida que el negocio escala (62.5% → 80.6% → 89.0%), en lugar de disminuir. Esto ocurre porque el ingreso por multas crece de forma multiplicativa con las unidades activas, mientras que el ingreso por suscripción crece de forma lineal. En otras palabras: mientras más éxito tiene la expansión, más dependiente se vuelve el negocio del mecanismo de ingreso más frágil.</w:t>
      </w:r>
    </w:p>
    <w:p>
      <w:pPr>
        <w:spacing w:after="160"/>
        <w:jc w:val="both"/>
      </w:pPr>
      <w:r>
        <w:rPr>
          <w:b/>
          <w:bCs/>
        </w:rPr>
        <w:t xml:space="preserve">Esto contradice el propósito original de introducir un modelo mixto. Si el objetivo es diversificar el riesgo de ingreso, el precio de suscripción y/o su ponderación relativa deben subir de forma sustancial, o debe explorarse un modelo de cuota base más alta con multas como ingreso complementario menor — no al revés.</w:t>
      </w:r>
    </w:p>
    <w:p>
      <w:pPr>
        <w:pStyle w:val="Heading1"/>
        <w:spacing w:after="150" w:before="300"/>
      </w:pPr>
      <w:r>
        <w:t xml:space="preserve">6. Recomendaciones</w:t>
      </w:r>
    </w:p>
    <w:p>
      <w:pPr>
        <w:pStyle w:val="ListParagraph"/>
        <w:numPr>
          <w:ilvl w:val="0"/>
          <w:numId w:val="1"/>
        </w:numPr>
        <w:spacing w:after="80"/>
      </w:pPr>
      <w:r>
        <w:t xml:space="preserve">Recalibrar el precio de suscripción y la tasa de captura de multas con datos reales de la competencia en cuanto estén disponibles.</w:t>
      </w:r>
    </w:p>
    <w:p>
      <w:pPr>
        <w:pStyle w:val="ListParagraph"/>
        <w:numPr>
          <w:ilvl w:val="0"/>
          <w:numId w:val="1"/>
        </w:numPr>
        <w:spacing w:after="80"/>
      </w:pPr>
      <w:r>
        <w:t xml:space="preserve">Modelar un cuarto escenario "suscripción-dominante", con precio de suscripción 2–3x mayor y tasa de captura de multas más conservadora, para evaluar si el negocio es viable sin depender del cobro de sanciones.</w:t>
      </w:r>
    </w:p>
    <w:p>
      <w:pPr>
        <w:pStyle w:val="ListParagraph"/>
        <w:numPr>
          <w:ilvl w:val="0"/>
          <w:numId w:val="1"/>
        </w:numPr>
        <w:spacing w:after="80"/>
      </w:pPr>
      <w:r>
        <w:t xml:space="preserve">Tratar el escenario Conservador como el caso base para decisiones de inversión — el escenario Optimista no debe usarse para justificar el CAPEX inicial ante inversionistas.</w:t>
      </w:r>
    </w:p>
    <w:p>
      <w:pPr>
        <w:pStyle w:val="ListParagraph"/>
        <w:numPr>
          <w:ilvl w:val="0"/>
          <w:numId w:val="1"/>
        </w:numPr>
        <w:spacing w:after="80"/>
      </w:pPr>
      <w:r>
        <w:t xml:space="preserve">Incorporar el costo de ventas ruta-por-ruta (ciclo de negociación con presidentes de ruta) de forma más granular; el CAC actual es un supuesto simplificado.</w:t>
      </w:r>
    </w:p>
    <w:p>
      <w:pPr>
        <w:pStyle w:val="Heading1"/>
        <w:spacing w:after="150" w:before="300"/>
      </w:pPr>
      <w:r>
        <w:t xml:space="preserve">7. Archivo Fuente</w:t>
      </w:r>
    </w:p>
    <w:p>
      <w:pPr>
        <w:spacing w:after="160"/>
        <w:jc w:val="both"/>
      </w:pPr>
      <w:r>
        <w:t xml:space="preserve">Todos los cálculos de este informe provienen del libro de Excel "modelo_financiero_mixto.xlsx", con pestañas Supuestos, Modelo Ingresos, OPEX Mensual, P&amp;L y Flujo de Caja, y Dashboard. El selector de escenario (Supuestos!B4) permite recalcular todo el modelo en vivo.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2026-08-02T01:24:44.442Z</dcterms:created>
  <dcterms:modified xsi:type="dcterms:W3CDTF">2026-08-02T01:24:44.468Z</dcterms:modified>
</cp:coreProperties>
</file>

<file path=docProps/custom.xml><?xml version="1.0" encoding="utf-8"?>
<Properties xmlns="http://schemas.openxmlformats.org/officeDocument/2006/custom-properties" xmlns:vt="http://schemas.openxmlformats.org/officeDocument/2006/docPropsVTypes"/>
</file>