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Mini Proyecto – Análisis de Recompra en Campaña de Marketing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informe presenta el desarrollo de un ejercicio práctico de Modelizado de Minería de Datos, en el marco de la asignatura Ciencia de Datos e Inteligencia Artificial. El objetivo principal es predecir si un cliente realizará una recompra luego de recibir una promoción, utilizando técnicas de análisis exploratorio, preprocesamiento, modelado predictivo y visualización.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Aplicar técnicas de preprocesamiento de datos.</w:t>
        <w:br w:type="textWrapping"/>
        <w:t xml:space="preserve">- Explorar y visualizar variables clave que influyen en la recompra.</w:t>
        <w:br w:type="textWrapping"/>
        <w:t xml:space="preserve">- Entrenar un modelo de clasificación (árbol de decisión).</w:t>
        <w:br w:type="textWrapping"/>
        <w:t xml:space="preserve">- Evaluar el modelo mediante métricas estándar.</w:t>
        <w:br w:type="textWrapping"/>
        <w:t xml:space="preserve">- Formular conclusiones para la toma de decisiones de negocio.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Generación del dataset: se creó un dataset sintético de 1000 clientes con información sobre género, edad, ingreso mensual, recepción de promociones, monto de la promoción, compras totales y si realizó recompra.</w:t>
        <w:br w:type="textWrapping"/>
        <w:t xml:space="preserve">2. Análisis exploratorio: se calcularon estadísticas descriptivas y se realizaron visualizaciones (histogramas, boxplots) para comprender la distribución de las variables.</w:t>
        <w:br w:type="textWrapping"/>
        <w:t xml:space="preserve">3. Preprocesamiento: se transformaron variables categóricas en numéricas (género, recibió promo, recompra).</w:t>
        <w:br w:type="textWrapping"/>
        <w:t xml:space="preserve">4. Modelado: se entrenó un Árbol de Decisión con profundidad máxima de 6, dividiendo los datos en 80% entrenamiento y 20% prueba.</w:t>
        <w:br w:type="textWrapping"/>
        <w:t xml:space="preserve">5. Evaluación: se calcularon métricas de desempeño (accuracy, precision, recall, F1, ROC AUC) y se analizaron las variables más importantes en la predicción.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modelo alcanzó los siguientes valores en el conjunto de prueba:</w:t>
        <w:br w:type="textWrapping"/>
        <w:t xml:space="preserve">- Accuracy: 0.605</w:t>
        <w:br w:type="textWrapping"/>
        <w:t xml:space="preserve">- Precision: 0.600</w:t>
        <w:br w:type="textWrapping"/>
        <w:t xml:space="preserve">- Recall: 0.582</w:t>
        <w:br w:type="textWrapping"/>
        <w:t xml:space="preserve">- F1-score: 0.591</w:t>
        <w:br w:type="textWrapping"/>
        <w:t xml:space="preserve">- ROC AUC: 0.642</w:t>
        <w:br w:type="textWrapping"/>
        <w:br w:type="textWrapping"/>
        <w:t xml:space="preserve">La matriz de confusión muestra un desempeño equilibrado entre clases, aunque con margen de mejora.</w:t>
        <w:br w:type="textWrapping"/>
        <w:t xml:space="preserve">Las variables más influyentes en la predicción fueron:</w:t>
        <w:br w:type="textWrapping"/>
        <w:t xml:space="preserve">- Monto de la Promoción (54%)</w:t>
        <w:br w:type="textWrapping"/>
        <w:t xml:space="preserve">- Ingreso Mensual (24%)</w:t>
        <w:br w:type="textWrapping"/>
        <w:t xml:space="preserve">- Edad (13%)</w:t>
        <w:br w:type="textWrapping"/>
        <w:t xml:space="preserve">Esto sugiere que el monto de la promoción y la capacidad adquisitiva del cliente son factores clave para anticipar una recompra.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análisis permitió comprobar que las promociones tienen un impacto significativo en la recompra, pero no actúan de forma aislada: el nivel de ingresos y la edad del cliente también influyen.</w:t>
        <w:br w:type="textWrapping"/>
        <w:br w:type="textWrapping"/>
        <w:t xml:space="preserve">Si bien el modelo de Árbol de Decisión alcanzó un rendimiento moderado (AUC=0.642), es una base sólida para identificar perfiles de clientes con mayor probabilidad de recompra.</w:t>
        <w:br w:type="textWrapping"/>
        <w:br w:type="textWrapping"/>
        <w:t xml:space="preserve">Se recomienda:</w:t>
        <w:br w:type="textWrapping"/>
        <w:t xml:space="preserve">- Implementar estrategias diferenciadas de promoción según segmento de ingreso y edad.</w:t>
        <w:br w:type="textWrapping"/>
        <w:t xml:space="preserve">- Probar modelos más avanzados (Random Forest, Logistic Regression) para mejorar el rendimiento.</w:t>
        <w:br w:type="textWrapping"/>
        <w:t xml:space="preserve">- Construir dashboards interactivos (Power BI o Python/Seaborn) para facilitar la interpretación a los equipos de marketing.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