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D9" w:rsidRPr="00BB57D9" w:rsidRDefault="00BB57D9" w:rsidP="00BB57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BB57D9">
        <w:rPr>
          <w:rFonts w:ascii="Arial" w:eastAsia="Times New Roman" w:hAnsi="Arial" w:cs="Arial"/>
          <w:b/>
          <w:bCs/>
          <w:kern w:val="0"/>
          <w:sz w:val="27"/>
          <w:szCs w:val="27"/>
          <w14:ligatures w14:val="none"/>
        </w:rPr>
        <w:t>🧠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Seeking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Bias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– Informe Semanal</w:t>
      </w:r>
    </w:p>
    <w:p w:rsidR="00BB57D9" w:rsidRPr="00BB57D9" w:rsidRDefault="00BB57D9" w:rsidP="00BB57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BB57D9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🗓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️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2</w:t>
      </w:r>
      <w:r w:rsidR="00B33A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3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de junio, 2025</w:t>
      </w:r>
    </w:p>
    <w:p w:rsidR="00BB57D9" w:rsidRPr="00BB57D9" w:rsidRDefault="00BB57D9" w:rsidP="00BB57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</w:pP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>The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 xml:space="preserve"> Green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>Pain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>Trade</w:t>
      </w:r>
      <w:proofErr w:type="spellEnd"/>
    </w:p>
    <w:p w:rsid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La semana pasada hablábamos del cierre del gap entre el </w:t>
      </w:r>
      <w:proofErr w:type="spellStart"/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soft</w:t>
      </w:r>
      <w:proofErr w:type="spellEnd"/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data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y el </w:t>
      </w:r>
      <w:proofErr w:type="spellStart"/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hard</w:t>
      </w:r>
      <w:proofErr w:type="spellEnd"/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data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. Hoy, ese cierre ya no es una posibilidad: es un hecho. El </w:t>
      </w: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hard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data empieza a deteriorarse, y con él también la narrativa de aterrizaje suave. Los mercados lo ven, pero aún no lo asumen del todo.</w:t>
      </w:r>
    </w:p>
    <w:p w:rsidR="00AC4D48" w:rsidRPr="00BB57D9" w:rsidRDefault="00AC4D48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313F44">
        <w:rPr>
          <w:noProof/>
        </w:rPr>
        <w:drawing>
          <wp:inline distT="0" distB="0" distL="0" distR="0" wp14:anchorId="4F3C59DD" wp14:editId="59504734">
            <wp:extent cx="5943600" cy="3212465"/>
            <wp:effectExtent l="0" t="0" r="0" b="6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D9" w:rsidRPr="00BB57D9" w:rsidRDefault="003D18B2" w:rsidP="00BB57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5" style="width:0;height:1.5pt" o:hralign="center" o:hrstd="t" o:hr="t" fillcolor="#a0a0a0" stroked="f"/>
        </w:pict>
      </w:r>
    </w:p>
    <w:p w:rsidR="00BB57D9" w:rsidRPr="00BB57D9" w:rsidRDefault="00BB57D9" w:rsidP="00BB57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BB57D9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🇺🇸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Estados Unidos – El final del recreo</w:t>
      </w:r>
    </w:p>
    <w:p w:rsidR="00BB57D9" w:rsidRP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Aunque el </w:t>
      </w:r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Non-</w:t>
      </w:r>
      <w:proofErr w:type="spellStart"/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Farm</w:t>
      </w:r>
      <w:proofErr w:type="spellEnd"/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Payrolls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 mayo trajo cierto alivio, los datos duros empiezan a deteriorarse:</w:t>
      </w:r>
    </w:p>
    <w:p w:rsidR="00BB57D9" w:rsidRPr="00BB57D9" w:rsidRDefault="00BB57D9" w:rsidP="00BB57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Caída en 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utilización de capacidad</w:t>
      </w:r>
      <w:r w:rsidR="00AC4D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instalada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BB57D9" w:rsidRPr="00BB57D9" w:rsidRDefault="00BB57D9" w:rsidP="00BB57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Aumento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="00AC4D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los</w:t>
      </w:r>
      <w:proofErr w:type="spellEnd"/>
      <w:r w:rsidR="00AC4D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AC4D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despidos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BB57D9" w:rsidRPr="00BB57D9" w:rsidRDefault="00BB57D9" w:rsidP="00BB57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Inflación bajo control, pero sin poder de traslado </w:t>
      </w:r>
      <w:r w:rsidR="00AC4D4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a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precios</w:t>
      </w:r>
      <w:r w:rsidR="00AC4D4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por los productores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BB57D9" w:rsidRPr="00BB57D9" w:rsidRDefault="00BB57D9" w:rsidP="00BB57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Confirmación del deterioro anticipado por el </w:t>
      </w: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soft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data.</w:t>
      </w:r>
    </w:p>
    <w:p w:rsid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Los activos de riesgo 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siguen mostrando </w:t>
      </w:r>
      <w:proofErr w:type="gramStart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fragilidad</w:t>
      </w:r>
      <w:proofErr w:type="gramEnd"/>
      <w:r w:rsidR="00E67B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pero también cierta </w:t>
      </w:r>
      <w:proofErr w:type="spellStart"/>
      <w:r w:rsidR="00E67B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resilencia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: poco </w:t>
      </w:r>
      <w:proofErr w:type="spellStart"/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breadth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muchos movimientos </w:t>
      </w:r>
      <w:r w:rsidR="00AC4D48"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técnicos,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pero sin convicción real</w:t>
      </w:r>
      <w:r w:rsidR="00AC4D4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(excepto la siempre resilente AI</w:t>
      </w:r>
      <w:r w:rsidR="00AC4D48" w:rsidRPr="00AC4D4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)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E67B10" w:rsidRDefault="00E67B10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</w:p>
    <w:p w:rsidR="00E67B10" w:rsidRPr="00BB57D9" w:rsidRDefault="00E67B10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313F44">
        <w:rPr>
          <w:noProof/>
        </w:rPr>
        <w:drawing>
          <wp:inline distT="0" distB="0" distL="0" distR="0" wp14:anchorId="0AEEFE6A" wp14:editId="0DA2D11F">
            <wp:extent cx="5943600" cy="318579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D9" w:rsidRPr="00BB57D9" w:rsidRDefault="00E67B10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Mientras tanto, el</w:t>
      </w:r>
      <w:r w:rsidR="00BB57D9"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calendario se pone difícil:</w:t>
      </w:r>
    </w:p>
    <w:p w:rsidR="00BB57D9" w:rsidRPr="00BB57D9" w:rsidRDefault="00BB57D9" w:rsidP="00BB57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Buybacks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blackout.</w:t>
      </w:r>
    </w:p>
    <w:p w:rsidR="00BB57D9" w:rsidRPr="00BB57D9" w:rsidRDefault="00BB57D9" w:rsidP="00BB57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CTAs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vendedores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BB57D9" w:rsidRPr="00BB57D9" w:rsidRDefault="00BB57D9" w:rsidP="00BB57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Un </w:t>
      </w:r>
      <w:r w:rsidRPr="00AC4D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FOMC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r w:rsidR="00AC4D48" w:rsidRPr="00AC4D4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con declaraciones 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poco </w:t>
      </w: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dovish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BB57D9" w:rsidRPr="00BB57D9" w:rsidRDefault="00E67B10" w:rsidP="00BB57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Leading Indicators</w:t>
      </w:r>
      <w:r w:rsidR="00BB57D9"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B57D9"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</w:t>
      </w:r>
      <w:proofErr w:type="spellEnd"/>
      <w:r w:rsidR="00BB57D9"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B57D9"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rojo</w:t>
      </w:r>
      <w:proofErr w:type="spellEnd"/>
      <w:r w:rsidR="00BB57D9"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El dólar se torna errático, y eso daña a los activos de riesgo. Con todos posicionados short USD, el riesgo de 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short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squeeze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es real.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br/>
        <w:t xml:space="preserve">Un </w:t>
      </w:r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short </w:t>
      </w:r>
      <w:proofErr w:type="spellStart"/>
      <w:r w:rsidRPr="00BB57D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squeeze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es un movimiento abrupto de suba en un activo que muchos tenían vendido (short), forzando a cubrir posiciones y acelerando la suba.</w:t>
      </w:r>
    </w:p>
    <w:p w:rsidR="00AC4D48" w:rsidRPr="00BB57D9" w:rsidRDefault="00AC4D48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8478DE">
        <w:rPr>
          <w:noProof/>
        </w:rPr>
        <w:lastRenderedPageBreak/>
        <w:drawing>
          <wp:inline distT="0" distB="0" distL="0" distR="0" wp14:anchorId="024E6F6B" wp14:editId="161509CE">
            <wp:extent cx="5943600" cy="41890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D9" w:rsidRPr="00BB57D9" w:rsidRDefault="003D18B2" w:rsidP="00BB57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6" style="width:0;height:1.5pt" o:hralign="center" o:hrstd="t" o:hr="t" fillcolor="#a0a0a0" stroked="f"/>
        </w:pict>
      </w:r>
    </w:p>
    <w:p w:rsidR="00BB57D9" w:rsidRPr="00BB57D9" w:rsidRDefault="00BB57D9" w:rsidP="00BB57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BB57D9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🌍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Emerging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Markets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– La calma antes de la tormenta</w:t>
      </w:r>
    </w:p>
    <w:p w:rsidR="00BB57D9" w:rsidRP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Hasta ahora, el dólar débil fue oxígeno para EM. Pero con el mercado ultra posicionado en short USD, la posibilidad de un rebote del dólar (aunque sea transitorio) es real, y puede traer dolor.</w:t>
      </w:r>
    </w:p>
    <w:p w:rsidR="00BB57D9" w:rsidRP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Históricamente, 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los eventos geopolíticos siempre fueron oportunidades de compra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para </w:t>
      </w:r>
      <w:r w:rsidR="002508BE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los activos de riesgo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 Hoy no parece diferente: un cierre real del Estrecho de Ormuz suena improbable. Lo que sí es factible es un “mini” rally del dólar que afecte a EM en el corto plazo.</w:t>
      </w:r>
    </w:p>
    <w:p w:rsid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Aun así, el 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escenario estructural para EM sigue firme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. </w:t>
      </w:r>
      <w:r w:rsidR="002508BE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Solo pueden llegar a verse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mejores puntos de entrada</w:t>
      </w:r>
      <w:r w:rsidR="002508BE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en el corto plazo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2508BE" w:rsidRPr="00BB57D9" w:rsidRDefault="00392301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E01D27">
        <w:rPr>
          <w:b/>
          <w:i/>
          <w:noProof/>
        </w:rPr>
        <w:lastRenderedPageBreak/>
        <w:drawing>
          <wp:inline distT="0" distB="0" distL="0" distR="0" wp14:anchorId="33FED5E1" wp14:editId="525FEF34">
            <wp:extent cx="5943600" cy="405574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D9" w:rsidRPr="00BB57D9" w:rsidRDefault="003D18B2" w:rsidP="00BB57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7" style="width:0;height:1.5pt" o:hralign="center" o:hrstd="t" o:hr="t" fillcolor="#a0a0a0" stroked="f"/>
        </w:pict>
      </w:r>
    </w:p>
    <w:p w:rsidR="00BB57D9" w:rsidRPr="00BB57D9" w:rsidRDefault="00BB57D9" w:rsidP="00BB57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BB57D9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🇦🇷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Argentina – Shocks, consumo y cemento</w:t>
      </w:r>
    </w:p>
    <w:p w:rsidR="00BB57D9" w:rsidRP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El LEI de Argentina mostró debilidad:</w:t>
      </w:r>
    </w:p>
    <w:p w:rsidR="00BB57D9" w:rsidRPr="00BB57D9" w:rsidRDefault="00BB57D9" w:rsidP="00BB57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Caída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despachos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cemento</w:t>
      </w:r>
      <w:proofErr w:type="spellEnd"/>
    </w:p>
    <w:p w:rsidR="00BB57D9" w:rsidRPr="00BB57D9" w:rsidRDefault="00BB57D9" w:rsidP="00BB57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Merma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</w:t>
      </w:r>
      <w:proofErr w:type="spellEnd"/>
      <w:r w:rsidRPr="00BB57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 IVA real</w:t>
      </w:r>
    </w:p>
    <w:p w:rsidR="00BB57D9" w:rsidRPr="00BB57D9" w:rsidRDefault="00BB57D9" w:rsidP="00BB57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Venta de autos sin impacto positivo en el índice de difusión</w:t>
      </w:r>
    </w:p>
    <w:p w:rsidR="00BB57D9" w:rsidRP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🚩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Yellow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flags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en el consumo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: la gran suba de precios en USD en 2024-2025 podría estar generando un simple reacomodamiento de precios relativos... o marcando el inicio de un estancamiento.</w:t>
      </w:r>
    </w:p>
    <w:p w:rsidR="00BB57D9" w:rsidRP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Seguimos con exposición selectiva, </w:t>
      </w:r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desarmando posiciones débiles como bancos</w:t>
      </w:r>
      <w:r w:rsidRPr="00BB57D9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, y manteniendo exposición técnica en sectores más resistentes.</w:t>
      </w:r>
    </w:p>
    <w:p w:rsidR="00BB57D9" w:rsidRPr="00BB57D9" w:rsidRDefault="009F777B" w:rsidP="00BB57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77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876EF80" wp14:editId="570E14A1">
            <wp:extent cx="5943600" cy="28136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8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8" style="width:0;height:1.5pt" o:hralign="center" o:hrstd="t" o:hr="t" fillcolor="#a0a0a0" stroked="f"/>
        </w:pict>
      </w:r>
    </w:p>
    <w:p w:rsidR="00004235" w:rsidRPr="00004235" w:rsidRDefault="00004235" w:rsidP="000042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04235">
        <w:rPr>
          <w:rFonts w:ascii="Segoe UI Symbol" w:eastAsia="Times New Roman" w:hAnsi="Segoe UI Symbol" w:cs="Segoe UI Symbol"/>
          <w:kern w:val="0"/>
          <w:sz w:val="24"/>
          <w:szCs w:val="24"/>
          <w:lang w:val="es-AR"/>
          <w14:ligatures w14:val="none"/>
        </w:rPr>
        <w:t>⚡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️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Alerta Q3: Vuelven los vientos de frente</w:t>
      </w:r>
    </w:p>
    <w:p w:rsidR="003D18B2" w:rsidRDefault="00004235" w:rsidP="000042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El segundo semestre podría enfrentar un nuevo </w:t>
      </w:r>
      <w:proofErr w:type="spellStart"/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headwind</w:t>
      </w:r>
      <w:proofErr w:type="spellEnd"/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 liquidez que el mercado aún no termina de digerir: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br/>
        <w:t xml:space="preserve">• El </w:t>
      </w:r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Tesoro de EE.UU.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necesita </w:t>
      </w:r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reconstruir la cuenta TGA (</w:t>
      </w:r>
      <w:proofErr w:type="spellStart"/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Treasury</w:t>
      </w:r>
      <w:proofErr w:type="spellEnd"/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General </w:t>
      </w:r>
      <w:proofErr w:type="spellStart"/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Account</w:t>
      </w:r>
      <w:proofErr w:type="spellEnd"/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)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r w:rsidR="003D18B2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en un escenario donde se suma 1 trillón de déficit cada 100 días</w:t>
      </w:r>
    </w:p>
    <w:p w:rsidR="00004235" w:rsidRPr="00004235" w:rsidRDefault="00004235" w:rsidP="000042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• Para hacerlo, deberá </w:t>
      </w:r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emitir una gran cantidad de nuevos </w:t>
      </w:r>
      <w:proofErr w:type="spellStart"/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Treasuries</w:t>
      </w:r>
      <w:proofErr w:type="spellEnd"/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, retirando dólares del sistema financiero.</w:t>
      </w:r>
    </w:p>
    <w:p w:rsidR="00004235" w:rsidRPr="00004235" w:rsidRDefault="00004235" w:rsidP="000042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04235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📉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¿Por qué importa?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br/>
        <w:t xml:space="preserve">• Cuando el Tesoro emite bonos para llenar la TGA, </w:t>
      </w:r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absorbe liquidez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del mercado, compitiendo por dólares con los activos de riesgo.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br/>
        <w:t xml:space="preserve">• Es un </w:t>
      </w:r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cuasi-</w:t>
      </w:r>
      <w:proofErr w:type="spellStart"/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tightening</w:t>
      </w:r>
      <w:proofErr w:type="spellEnd"/>
      <w:r w:rsidRPr="000042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fiscal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que puede presionar tasas al alza y frenar </w:t>
      </w:r>
      <w:proofErr w:type="spellStart"/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rallies</w:t>
      </w:r>
      <w:proofErr w:type="spellEnd"/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especulativos.</w:t>
      </w:r>
    </w:p>
    <w:p w:rsidR="00004235" w:rsidRDefault="00004235" w:rsidP="000042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04235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🔴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Criptos</w:t>
      </w:r>
      <w:bookmarkStart w:id="0" w:name="_GoBack"/>
      <w:bookmarkEnd w:id="0"/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: son particularmente sensibles a shocks de liquidez.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br/>
      </w:r>
      <w:r w:rsidRPr="00004235">
        <w:rPr>
          <w:rFonts w:ascii="Segoe UI Symbol" w:eastAsia="Times New Roman" w:hAnsi="Segoe UI Symbol" w:cs="Segoe UI Symbol"/>
          <w:kern w:val="0"/>
          <w:sz w:val="24"/>
          <w:szCs w:val="24"/>
          <w:lang w:val="es-AR"/>
          <w14:ligatures w14:val="none"/>
        </w:rPr>
        <w:t>⚠</w:t>
      </w:r>
      <w:r w:rsidRPr="00004235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️</w:t>
      </w:r>
      <w:r w:rsidRPr="00004235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Hora de ser más selectivos con las exposiciones de riesgo.</w:t>
      </w:r>
    </w:p>
    <w:p w:rsidR="00392301" w:rsidRPr="00004235" w:rsidRDefault="00392301" w:rsidP="000042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B64924">
        <w:rPr>
          <w:noProof/>
        </w:rPr>
        <w:lastRenderedPageBreak/>
        <w:drawing>
          <wp:inline distT="0" distB="0" distL="0" distR="0" wp14:anchorId="33227F5E" wp14:editId="4D7D09EC">
            <wp:extent cx="5943600" cy="38538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D9" w:rsidRPr="00BB57D9" w:rsidRDefault="003D18B2" w:rsidP="00BB57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9" style="width:0;height:1.5pt" o:hralign="center" o:hrstd="t" o:hr="t" fillcolor="#a0a0a0" stroked="f"/>
        </w:pict>
      </w:r>
    </w:p>
    <w:p w:rsidR="00BB57D9" w:rsidRPr="00BB57D9" w:rsidRDefault="00BB57D9" w:rsidP="00BB5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Seguimos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buscando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sesgos</w:t>
      </w:r>
      <w:proofErr w:type="spellEnd"/>
      <w:r w:rsidRPr="00BB57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:rsidR="00FB100F" w:rsidRDefault="00FB100F"/>
    <w:sectPr w:rsidR="00FB1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02D1"/>
    <w:multiLevelType w:val="multilevel"/>
    <w:tmpl w:val="7D22D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60F26"/>
    <w:multiLevelType w:val="multilevel"/>
    <w:tmpl w:val="C720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1C6A7E"/>
    <w:multiLevelType w:val="multilevel"/>
    <w:tmpl w:val="80F2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A00923"/>
    <w:multiLevelType w:val="multilevel"/>
    <w:tmpl w:val="688AD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173664"/>
    <w:multiLevelType w:val="multilevel"/>
    <w:tmpl w:val="AEF8D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B373D6"/>
    <w:multiLevelType w:val="multilevel"/>
    <w:tmpl w:val="7498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5B4FEF"/>
    <w:multiLevelType w:val="multilevel"/>
    <w:tmpl w:val="70A6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7D9"/>
    <w:rsid w:val="00004235"/>
    <w:rsid w:val="002508BE"/>
    <w:rsid w:val="00392301"/>
    <w:rsid w:val="003D18B2"/>
    <w:rsid w:val="0065715F"/>
    <w:rsid w:val="009B3E9D"/>
    <w:rsid w:val="009F777B"/>
    <w:rsid w:val="00AC4D48"/>
    <w:rsid w:val="00B33A7D"/>
    <w:rsid w:val="00BB57D9"/>
    <w:rsid w:val="00E67B10"/>
    <w:rsid w:val="00FB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5BDE"/>
  <w15:chartTrackingRefBased/>
  <w15:docId w15:val="{D24277BC-52B3-45F5-9357-BAD82A2F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BB57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BB57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B57D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BB57D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Textoennegrita">
    <w:name w:val="Strong"/>
    <w:basedOn w:val="Fuentedeprrafopredeter"/>
    <w:uiPriority w:val="22"/>
    <w:qFormat/>
    <w:rsid w:val="00BB57D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B57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nfasis">
    <w:name w:val="Emphasis"/>
    <w:basedOn w:val="Fuentedeprrafopredeter"/>
    <w:uiPriority w:val="20"/>
    <w:qFormat/>
    <w:rsid w:val="00BB57D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9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Zimzum Mosca</dc:creator>
  <cp:keywords/>
  <dc:description/>
  <cp:lastModifiedBy>Zimzum Mosca</cp:lastModifiedBy>
  <cp:revision>9</cp:revision>
  <dcterms:created xsi:type="dcterms:W3CDTF">2025-06-23T20:39:00Z</dcterms:created>
  <dcterms:modified xsi:type="dcterms:W3CDTF">2025-06-23T20:55:00Z</dcterms:modified>
</cp:coreProperties>
</file>