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713" w:rsidRPr="006D7713" w:rsidRDefault="006D7713" w:rsidP="006D77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</w:pPr>
      <w:r w:rsidRPr="006D7713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14:ligatures w14:val="none"/>
        </w:rPr>
        <w:t>📉</w:t>
      </w:r>
      <w:r w:rsidRPr="006D77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Mind</w:t>
      </w:r>
      <w:proofErr w:type="spellEnd"/>
      <w:r w:rsidRPr="006D77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the</w:t>
      </w:r>
      <w:proofErr w:type="spellEnd"/>
      <w:r w:rsidRPr="006D77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Gap – Visión Semanal de los Mercados Financieros Globales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Junio 9, 2025</w:t>
      </w:r>
    </w:p>
    <w:p w:rsidR="006D7713" w:rsidRPr="006D7713" w:rsidRDefault="006D7713" w:rsidP="006D77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6D7713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🇺🇸</w:t>
      </w:r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Estados Unidos –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Soft</w:t>
      </w:r>
      <w:proofErr w:type="spellEnd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Landing</w:t>
      </w:r>
      <w:proofErr w:type="spellEnd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, esperando por el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Tariff</w:t>
      </w:r>
      <w:proofErr w:type="spellEnd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Deal</w:t>
      </w:r>
      <w:proofErr w:type="spellEnd"/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 gran pregunta que se arrastraba desde abril y mayo era si el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hard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 iba a acompañar el pesimismo que venía insinuando el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soft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data. Las señales estaban ahí: el Conf.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Board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LEI y los indicadores de la OCDE venían cayendo en silencio, con un mercado laboral que mostraba grietas (ADP flojo,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Employment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Trend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Index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débil), mientras el PMI de servicios y los Factory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Orders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sorprendían a la baja.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proofErr w:type="gram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Y</w:t>
      </w:r>
      <w:proofErr w:type="gram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aun así, el Non-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Farm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Payrolls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(NFP) aguantó la jornada: fue un dato justo, pero suficiente para que no colapse el relato macroeconómico.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 conclusión: se reinicia el ciclo. No hay euforia. El consumo se mantiene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resiliente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las tasas siguen altas, los bonos siguen sufriendo y el mercado tecnológico descansa en el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hype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la IA. Y la siempre presente amenaza de los bond vigilantes que obliguen al gobierno de EE.UU. a una repentina prudencia fiscal vuelve a aparecer.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Los activos de riesgo solo parecen ignorar esto, con poco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breadth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Con muchas incertezas respecto al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trade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deal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datos duros que empiezan a mostrar grietas y bonos castigados, es necesario un despeje de la incertidumbre, con indicadores adelantados de producción recuperando después de un inminente cierre de gap con el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soft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data.</w:t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Conclusión USA:</w:t>
      </w: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No hay razón para tener FOMO. Esperar señales claras, con mirada atenta a la convergencia de indicadores.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742C06">
        <w:rPr>
          <w:noProof/>
        </w:rPr>
        <w:lastRenderedPageBreak/>
        <w:drawing>
          <wp:inline distT="0" distB="0" distL="0" distR="0" wp14:anchorId="661FC90F" wp14:editId="6C713B82">
            <wp:extent cx="5943600" cy="3629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3" w:rsidRPr="006D7713" w:rsidRDefault="006D7713" w:rsidP="006D77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5" style="width:0;height:1.5pt" o:hralign="center" o:hrstd="t" o:hr="t" fillcolor="#a0a0a0" stroked="f"/>
        </w:pict>
      </w:r>
    </w:p>
    <w:p w:rsidR="006D7713" w:rsidRPr="006D7713" w:rsidRDefault="006D7713" w:rsidP="006D77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6D7713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🌍</w:t>
      </w:r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Europa – La excepción que se volvió regla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Europa viene encadenando sorpresas positivas. Con menos inflación que EE.UU., un BCE más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dovish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y gobiernos con actitud expansiva, el continente empieza a posicionarse como una región con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upside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Los LEI de mayo están “encendidos”, con la única advertencia en España y UK, pero sin gravedad. El posicionamiento tiene margen, las valuaciones son atractivas y las tarifas a China podrían incluso tener un efecto deflacionario.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Europa ya pagó su recesión y empezó antes los recortes de tasas. En un mundo donde la FED tiene las manos atadas por el déficit fiscal, Europa vuelve a ser una historia distinta.</w:t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77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 Europa:</w:t>
      </w: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It’s time for European exceptionalism.</w:t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 xml:space="preserve">Europa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ya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pag</w:t>
      </w:r>
      <w:r w:rsidRPr="006D7713">
        <w:rPr>
          <w:rFonts w:ascii="Times New Roman" w:eastAsia="Times New Roman" w:hAnsi="Times New Roman" w:cs="Times New Roman"/>
          <w:kern w:val="0"/>
          <w:sz w:val="18"/>
          <w:szCs w:val="18"/>
          <w:lang w:val="es-AR"/>
          <w14:ligatures w14:val="none"/>
        </w:rPr>
        <w:t>ó</w:t>
      </w:r>
      <w:proofErr w:type="spellEnd"/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724243">
        <w:rPr>
          <w:noProof/>
        </w:rPr>
        <w:lastRenderedPageBreak/>
        <w:drawing>
          <wp:inline distT="0" distB="0" distL="0" distR="0" wp14:anchorId="0CDEA7D6" wp14:editId="54D986EC">
            <wp:extent cx="5943600" cy="345376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18"/>
          <w:szCs w:val="18"/>
          <w:lang w:val="es-AR"/>
          <w14:ligatures w14:val="none"/>
        </w:rPr>
        <w:t>Empezó antes</w:t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243">
        <w:rPr>
          <w:noProof/>
        </w:rPr>
        <w:drawing>
          <wp:inline distT="0" distB="0" distL="0" distR="0" wp14:anchorId="6BE209F5" wp14:editId="59A4E979">
            <wp:extent cx="5943600" cy="21037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 xml:space="preserve">Y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tiene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margen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 xml:space="preserve"> para mas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243">
        <w:rPr>
          <w:noProof/>
        </w:rPr>
        <w:lastRenderedPageBreak/>
        <w:drawing>
          <wp:inline distT="0" distB="0" distL="0" distR="0" wp14:anchorId="63931A21" wp14:editId="1D5E5D3A">
            <wp:extent cx="5943600" cy="412877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3" w:rsidRPr="006D7713" w:rsidRDefault="006D7713" w:rsidP="006D77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6" style="width:0;height:1.5pt" o:hralign="center" o:hrstd="t" o:hr="t" fillcolor="#a0a0a0" stroked="f"/>
        </w:pict>
      </w:r>
    </w:p>
    <w:p w:rsidR="006D7713" w:rsidRPr="006D7713" w:rsidRDefault="006D7713" w:rsidP="006D77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6D7713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🌎</w:t>
      </w:r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Mercados Emergentes – Cuando el dólar flaquea, ellos brillan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dólar más débil genera las condiciones ideales para el regreso de los emergentes. El cobre, que se encuentra en máximos de 5 años, da oxígeno a los países mineros como Chile y Australia. Los datos de actividad comienzan a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inflexionar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: señales incipientes en los LEI de Brasil y mejores resultados de lo esperado en Q1 para países como Chile y Colombia.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Después de haber sido ignorados por años, los emergentes vuelven a escena. La clave es el dólar: cuando cae, los activos emergentes encuentran su momento.</w:t>
      </w:r>
    </w:p>
    <w:p w:rsid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77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Conclusión EM:</w:t>
      </w: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Vuelven los flujos, y con ellos, el interés. </w:t>
      </w: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It’s all about the dollar.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01D27">
        <w:rPr>
          <w:b/>
          <w:i/>
          <w:noProof/>
        </w:rPr>
        <w:lastRenderedPageBreak/>
        <w:drawing>
          <wp:inline distT="0" distB="0" distL="0" distR="0" wp14:anchorId="6189D9B5" wp14:editId="0071EF7E">
            <wp:extent cx="5943600" cy="39338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3" w:rsidRPr="006D7713" w:rsidRDefault="006D7713" w:rsidP="006D77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7" style="width:0;height:1.5pt" o:hralign="center" o:hrstd="t" o:hr="t" fillcolor="#a0a0a0" stroked="f"/>
        </w:pict>
      </w:r>
    </w:p>
    <w:p w:rsidR="006D7713" w:rsidRPr="006D7713" w:rsidRDefault="006D7713" w:rsidP="006D77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6D7713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🇦🇷</w:t>
      </w:r>
      <w:r w:rsidRPr="006D77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Argentina – Pesadez sin empacho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Luego del “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bull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market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manchesteriano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”, mayo trajo algo de pesadez. Pero el humor social no se quebró: el índice de confianza del consumidor repuntó con fuerza. La venta de autos mejoró respecto a abril. El Merval, tras un abril flojo, tuvo un mayo positivo. El componente más frágil del LEI de marzo dio una señal fuerte.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¿Y la construcción? Se frena con este tipo de cambio, como muestran los despachos de cemento. ¿</w:t>
      </w:r>
      <w:proofErr w:type="spellStart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Anecdota</w:t>
      </w:r>
      <w:proofErr w:type="spellEnd"/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o tendencia? Se plantea la pregunta.</w:t>
      </w:r>
    </w:p>
    <w:p w:rsidR="006D7713" w:rsidRPr="006D7713" w:rsidRDefault="006D7713" w:rsidP="006D77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6D77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Conclusión Argy:</w:t>
      </w:r>
      <w:r w:rsidRPr="006D7713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Long Argentina. No hay fundamentos para pensar en un empacho, solo una pausa en medio del rally.</w:t>
      </w:r>
    </w:p>
    <w:p w:rsidR="00FB100F" w:rsidRDefault="00FB100F">
      <w:pPr>
        <w:rPr>
          <w:lang w:val="es-AR"/>
        </w:rPr>
      </w:pPr>
    </w:p>
    <w:p w:rsidR="006D7713" w:rsidRDefault="006D7713">
      <w:pPr>
        <w:rPr>
          <w:lang w:val="es-AR"/>
        </w:rPr>
      </w:pPr>
      <w:r>
        <w:rPr>
          <w:lang w:val="es-AR"/>
        </w:rPr>
        <w:t xml:space="preserve">¿El cemento es la causa de un mercado </w:t>
      </w:r>
      <w:bookmarkStart w:id="0" w:name="_GoBack"/>
      <w:r w:rsidRPr="006D7713">
        <w:rPr>
          <w:i/>
          <w:lang w:val="es-AR"/>
        </w:rPr>
        <w:t>Argy</w:t>
      </w:r>
      <w:r>
        <w:rPr>
          <w:lang w:val="es-AR"/>
        </w:rPr>
        <w:t xml:space="preserve"> </w:t>
      </w:r>
      <w:bookmarkEnd w:id="0"/>
      <w:r>
        <w:rPr>
          <w:lang w:val="es-AR"/>
        </w:rPr>
        <w:t>algo pesado?</w:t>
      </w:r>
    </w:p>
    <w:p w:rsidR="006D7713" w:rsidRPr="006D7713" w:rsidRDefault="006D7713" w:rsidP="006D7713">
      <w:pPr>
        <w:jc w:val="center"/>
        <w:rPr>
          <w:lang w:val="es-AR"/>
        </w:rPr>
      </w:pPr>
      <w:r w:rsidRPr="00D31D8A">
        <w:rPr>
          <w:noProof/>
        </w:rPr>
        <w:lastRenderedPageBreak/>
        <w:drawing>
          <wp:inline distT="0" distB="0" distL="0" distR="0" wp14:anchorId="647937A3" wp14:editId="19584BCC">
            <wp:extent cx="5074467" cy="3885546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980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713" w:rsidRPr="006D7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713"/>
    <w:rsid w:val="0065715F"/>
    <w:rsid w:val="006D7713"/>
    <w:rsid w:val="009B3E9D"/>
    <w:rsid w:val="00FB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DC1E"/>
  <w15:chartTrackingRefBased/>
  <w15:docId w15:val="{DEB39D24-8915-4F96-A52D-AD24D60B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D77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6D77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D771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6D771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Textoennegrita">
    <w:name w:val="Strong"/>
    <w:basedOn w:val="Fuentedeprrafopredeter"/>
    <w:uiPriority w:val="22"/>
    <w:qFormat/>
    <w:rsid w:val="006D771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D7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nfasis">
    <w:name w:val="Emphasis"/>
    <w:basedOn w:val="Fuentedeprrafopredeter"/>
    <w:uiPriority w:val="20"/>
    <w:qFormat/>
    <w:rsid w:val="006D77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Zimzum Mosca</dc:creator>
  <cp:keywords/>
  <dc:description/>
  <cp:lastModifiedBy>Zimzum Mosca</cp:lastModifiedBy>
  <cp:revision>1</cp:revision>
  <dcterms:created xsi:type="dcterms:W3CDTF">2025-06-10T21:47:00Z</dcterms:created>
  <dcterms:modified xsi:type="dcterms:W3CDTF">2025-06-10T21:51:00Z</dcterms:modified>
</cp:coreProperties>
</file>