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3b424mavdix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4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bookmarkStart w:colFirst="0" w:colLast="0" w:name="_ajyw2wt85cfc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Reglas de Negocio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5.0" w:type="dxa"/>
        <w:jc w:val="left"/>
        <w:tblInd w:w="-500.0" w:type="dxa"/>
        <w:tblLayout w:type="fixed"/>
        <w:tblLook w:val="0600"/>
      </w:tblPr>
      <w:tblGrid>
        <w:gridCol w:w="1095"/>
        <w:gridCol w:w="9060"/>
        <w:tblGridChange w:id="0">
          <w:tblGrid>
            <w:gridCol w:w="1095"/>
            <w:gridCol w:w="906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8" w:val="single"/>
              <w:bottom w:color="000000" w:space="0" w:sz="1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6"/>
                <w:szCs w:val="36"/>
                <w:rtl w:val="0"/>
              </w:rPr>
              <w:t xml:space="preserve">REGLAS DE NEGOCIO</w:t>
            </w:r>
          </w:p>
        </w:tc>
      </w:tr>
      <w:tr>
        <w:trPr>
          <w:trHeight w:val="500" w:hRule="atLeast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RN01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no podrá controlar a mumei bot por comandos de voz si es que no cuenta con minutos disponibles.</w:t>
            </w:r>
          </w:p>
        </w:tc>
      </w:tr>
      <w:tr>
        <w:trPr>
          <w:trHeight w:val="480" w:hRule="atLeast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RN02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usuarios free no podrán gestionar los comandos de mumei bot, es decir solo podrán usar los comandos por defecto y sus funcionalidades limitadas.</w:t>
            </w:r>
          </w:p>
        </w:tc>
      </w:tr>
      <w:tr>
        <w:trPr>
          <w:trHeight w:val="640" w:hRule="atLeast"/>
        </w:trPr>
        <w:tc>
          <w:tcPr>
            <w:tcBorders>
              <w:bottom w:color="666666" w:space="0" w:sz="1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RN03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puede comunicarse con mumei bot por medio de texto gratuitamente.</w:t>
            </w:r>
          </w:p>
        </w:tc>
      </w:tr>
      <w:tr>
        <w:trPr>
          <w:trHeight w:val="640" w:hRule="atLeast"/>
        </w:trPr>
        <w:tc>
          <w:tcPr>
            <w:tcBorders>
              <w:top w:color="666666" w:space="0" w:sz="18" w:val="single"/>
              <w:bottom w:color="666666" w:space="0" w:sz="1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RN04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pagos se realizarán únicamente mediante tarjeta de crédito.</w:t>
            </w:r>
          </w:p>
        </w:tc>
      </w:tr>
      <w:tr>
        <w:trPr>
          <w:trHeight w:val="640" w:hRule="atLeast"/>
        </w:trPr>
        <w:tc>
          <w:tcPr>
            <w:tcBorders>
              <w:top w:color="666666" w:space="0" w:sz="18" w:val="single"/>
              <w:bottom w:color="666666" w:space="0" w:sz="1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RN05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soporte técnico estará activo 24/7 para atender cualquier inconveniencia de los usuarios</w:t>
            </w:r>
          </w:p>
        </w:tc>
      </w:tr>
      <w:tr>
        <w:trPr>
          <w:trHeight w:val="640" w:hRule="atLeast"/>
        </w:trPr>
        <w:tc>
          <w:tcPr>
            <w:tcBorders>
              <w:top w:color="666666" w:space="0" w:sz="18" w:val="single"/>
              <w:bottom w:color="666666" w:space="0" w:sz="1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RN06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usuarios Premium miembros de una empresa no podrán editar los comandos otorgados por el Business Owner</w:t>
            </w:r>
          </w:p>
        </w:tc>
      </w:tr>
      <w:tr>
        <w:trPr>
          <w:trHeight w:val="640" w:hRule="atLeast"/>
        </w:trPr>
        <w:tc>
          <w:tcPr>
            <w:tcBorders>
              <w:top w:color="666666" w:space="0" w:sz="18" w:val="single"/>
              <w:bottom w:color="666666" w:space="0" w:sz="1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RN07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Solo se podrán generar como máximo 3 tickets diarios por usuario premium.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