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4A6E"/>
          <w:sz w:val="26"/>
        </w:rPr>
        <w:t>OSINERGMIN</w:t>
        <w:br/>
        <w:t>GERENCIA DE ADMINISTRACIÓN Y FINANZAS</w:t>
        <w:br/>
        <w:br/>
        <w:t>BASES ESTÁNDAR</w:t>
        <w:br/>
        <w:t>ADQUISICIÓN DE BIENES</w:t>
      </w:r>
    </w:p>
    <w:p>
      <w:r>
        <w:br/>
      </w:r>
    </w:p>
    <w:p>
      <w:r>
        <w:rPr>
          <w:b/>
          <w:color w:val="0C4A6E"/>
          <w:sz w:val="24"/>
        </w:rPr>
        <w:t>CAPÍTULO I: DISPOSICIONES GENERALES Y DATOS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Nomenclatura Oficial del Proceso</w:t>
            </w:r>
          </w:p>
        </w:tc>
        <w:tc>
          <w:tcPr>
            <w:tcW w:type="dxa" w:w="4320"/>
          </w:tcPr>
          <w:p>
            <w:r>
              <w:t>{{ nomenclatura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Expediente SIGED</w:t>
            </w:r>
          </w:p>
        </w:tc>
        <w:tc>
          <w:tcPr>
            <w:tcW w:type="dxa" w:w="4320"/>
          </w:tcPr>
          <w:p>
            <w:r>
              <w:t>{{ numero_expediente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Objeto de la Contratación</w:t>
            </w:r>
          </w:p>
        </w:tc>
        <w:tc>
          <w:tcPr>
            <w:tcW w:type="dxa" w:w="4320"/>
          </w:tcPr>
          <w:p>
            <w:r>
              <w:t>{{ objeto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 de Contratación</w:t>
            </w:r>
          </w:p>
        </w:tc>
        <w:tc>
          <w:tcPr>
            <w:tcW w:type="dxa" w:w="4320"/>
          </w:tcPr>
          <w:p>
            <w:r>
              <w:t>{{ sistema_contratacion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 Orgánica Solicitante</w:t>
            </w:r>
          </w:p>
        </w:tc>
        <w:tc>
          <w:tcPr>
            <w:tcW w:type="dxa" w:w="4320"/>
          </w:tcPr>
          <w:p>
            <w:r>
              <w:t>{{ unidad_solicitante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 Técnico</w:t>
            </w:r>
          </w:p>
        </w:tc>
        <w:tc>
          <w:tcPr>
            <w:tcW w:type="dxa" w:w="4320"/>
          </w:tcPr>
          <w:p>
            <w:r>
              <w:t>{{ responsable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Fuente de Financiamiento</w:t>
            </w:r>
          </w:p>
        </w:tc>
        <w:tc>
          <w:tcPr>
            <w:tcW w:type="dxa" w:w="4320"/>
          </w:tcPr>
          <w:p>
            <w:r>
              <w:t>{{ fuente_financiamiento }}</w:t>
            </w:r>
          </w:p>
        </w:tc>
      </w:tr>
    </w:tbl>
    <w:p>
      <w:r>
        <w:br/>
      </w:r>
    </w:p>
    <w:p>
      <w:r>
        <w:rPr>
          <w:b/>
          <w:color w:val="0C4A6E"/>
          <w:sz w:val="24"/>
        </w:rPr>
        <w:t>CAPÍTULO II: CRONOGRAMA DEL PROCEDIMIENTO DE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 del Proceso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</w:tr>
      <w:tr>
        <w:tc>
          <w:tcPr>
            <w:tcW w:type="dxa" w:w="4320"/>
          </w:tcPr>
          <w:p>
            <w:r>
              <w:t>1. Convocatoria y publicación en el SEACE</w:t>
            </w:r>
          </w:p>
        </w:tc>
        <w:tc>
          <w:tcPr>
            <w:tcW w:type="dxa" w:w="4320"/>
          </w:tcPr>
          <w:p>
            <w:r>
              <w:t>{{ fecha_convocatoria }}</w:t>
            </w:r>
          </w:p>
        </w:tc>
      </w:tr>
      <w:tr>
        <w:tc>
          <w:tcPr>
            <w:tcW w:type="dxa" w:w="4320"/>
          </w:tcPr>
          <w:p>
            <w:r>
              <w:t>2. Formulación de consultas y observaciones</w:t>
            </w:r>
          </w:p>
        </w:tc>
        <w:tc>
          <w:tcPr>
            <w:tcW w:type="dxa" w:w="4320"/>
          </w:tcPr>
          <w:p>
            <w:r>
              <w:t>{{ fecha_consultas }}</w:t>
            </w:r>
          </w:p>
        </w:tc>
      </w:tr>
      <w:tr>
        <w:tc>
          <w:tcPr>
            <w:tcW w:type="dxa" w:w="4320"/>
          </w:tcPr>
          <w:p>
            <w:r>
              <w:t>3. Absolución de consultas e integración de bases</w:t>
            </w:r>
          </w:p>
        </w:tc>
        <w:tc>
          <w:tcPr>
            <w:tcW w:type="dxa" w:w="4320"/>
          </w:tcPr>
          <w:p>
            <w:r>
              <w:t>{{ fecha_absolucion }}</w:t>
            </w:r>
          </w:p>
        </w:tc>
      </w:tr>
      <w:tr>
        <w:tc>
          <w:tcPr>
            <w:tcW w:type="dxa" w:w="4320"/>
          </w:tcPr>
          <w:p>
            <w:r>
              <w:t>4. Presentación de ofertas técnicas y económicas</w:t>
            </w:r>
          </w:p>
        </w:tc>
        <w:tc>
          <w:tcPr>
            <w:tcW w:type="dxa" w:w="4320"/>
          </w:tcPr>
          <w:p>
            <w:r>
              <w:t>{{ fecha_presentacion }}</w:t>
            </w:r>
          </w:p>
        </w:tc>
      </w:tr>
      <w:tr>
        <w:tc>
          <w:tcPr>
            <w:tcW w:type="dxa" w:w="4320"/>
          </w:tcPr>
          <w:p>
            <w:r>
              <w:t>5. Otorgamiento de la Buena Pro</w:t>
            </w:r>
          </w:p>
        </w:tc>
        <w:tc>
          <w:tcPr>
            <w:tcW w:type="dxa" w:w="4320"/>
          </w:tcPr>
          <w:p>
            <w:r>
              <w:t>{{ fecha_buenapro }}</w:t>
            </w:r>
          </w:p>
        </w:tc>
      </w:tr>
    </w:tbl>
    <w:p>
      <w:r>
        <w:br/>
      </w:r>
    </w:p>
    <w:p>
      <w:r>
        <w:rPr>
          <w:b/>
          <w:color w:val="0C4A6E"/>
          <w:sz w:val="24"/>
        </w:rPr>
        <w:t>CAPÍTULO III: VALOR ESTIMADO Y CONDICIONES ECONÓMICAS</w:t>
      </w:r>
    </w:p>
    <w:p>
      <w:r>
        <w:rPr>
          <w:sz w:val="22"/>
        </w:rPr>
        <w:t xml:space="preserve">El valor estimado de la presente contratación asciende a la suma de </w:t>
      </w:r>
      <w:r>
        <w:rPr>
          <w:b/>
        </w:rPr>
        <w:t>{{ moneda }} {{ valor_estimado }}</w:t>
      </w:r>
    </w:p>
    <w:p>
      <w:r>
        <w:br/>
      </w:r>
    </w:p>
    <w:p>
      <w:r>
        <w:rPr>
          <w:b/>
          <w:color w:val="0C4A6E"/>
          <w:sz w:val="24"/>
        </w:rPr>
        <w:t>CAPÍTULO IV: REQUERIMIENTOS TÉCNICOS MÍNIMOS (PLAZOS Y REQUISITOS)</w:t>
      </w:r>
    </w:p>
    <w:p>
      <w:r>
        <w:rPr>
          <w:b/>
        </w:rPr>
        <w:t xml:space="preserve">Plazo de ejecución: </w:t>
      </w:r>
      <w:r>
        <w:t>{{ plazo }}</w:t>
      </w:r>
    </w:p>
    <w:p>
      <w:r>
        <w:t>Requisitos de Calificación Mínimos:</w:t>
      </w:r>
    </w:p>
    <w:p>
      <w:r>
        <w:t>{{ requisitos_calificacion }}</w:t>
      </w:r>
    </w:p>
    <w:p>
      <w:r>
        <w:br/>
      </w:r>
    </w:p>
    <w:p>
      <w:r>
        <w:rPr>
          <w:b/>
          <w:color w:val="0C4A6E"/>
          <w:sz w:val="24"/>
        </w:rPr>
        <w:t>CAPÍTULO V: FACTORES DE EVALUACIÓN</w:t>
      </w:r>
    </w:p>
    <w:p>
      <w:r>
        <w:t>{{ factores_evaluacion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