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9AA"/>
          <w:sz w:val="26"/>
        </w:rPr>
        <w:t>OSINERGMIN</w:t>
        <w:br/>
        <w:t>GERENCIA DE ADMINISTRACIÓN Y FINANZAS</w:t>
        <w:br/>
        <w:br/>
        <w:t>BASES ESTÁNDAR</w:t>
        <w:br/>
        <w:t>CONTRATACIÓN DE SERVICIOS DE CONSULTORÍA EN GENERAL</w:t>
      </w:r>
    </w:p>
    <w:p>
      <w:r>
        <w:br/>
      </w:r>
    </w:p>
    <w:p>
      <w:r>
        <w:rPr>
          <w:b/>
          <w:color w:val="0039AA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039AA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039AA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