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rPr>
          <w:rFonts w:ascii="Arial" w:cs="Arial" w:eastAsia="Arial" w:hAnsi="Arial"/>
        </w:rPr>
        <w:t xml:space="preserve"/>
      </w:r>
    </w:p>
    <w:p>
      <w:pPr>
        <w:jc w:val="center"/>
      </w:pPr>
      <w:r>
        <w:rPr>
          <w:rFonts w:ascii="Arial" w:cs="Arial" w:eastAsia="Arial" w:hAnsi="Arial"/>
          <w:b/>
          <w:bCs/>
          <w:color w:val="1F4E79"/>
          <w:sz w:val="96"/>
          <w:szCs w:val="96"/>
        </w:rPr>
        <w:t xml:space="preserve">CommUP</w:t>
      </w:r>
    </w:p>
    <w:p>
      <w:pPr>
        <w:jc w:val="center"/>
      </w:pPr>
      <w:r>
        <w:rPr>
          <w:rFonts w:ascii="Arial" w:cs="Arial" w:eastAsia="Arial" w:hAnsi="Arial"/>
          <w:b/>
          <w:bCs/>
          <w:color w:val="2E75B6"/>
          <w:sz w:val="48"/>
          <w:szCs w:val="48"/>
        </w:rPr>
        <w:t xml:space="preserve">Execution Digital Backbone</w:t>
      </w:r>
    </w:p>
    <w:p>
      <w:pPr>
        <w:spacing w:after="200"/>
      </w:pPr>
      <w:r>
        <w:rPr>
          <w:rFonts w:ascii="Arial" w:cs="Arial" w:eastAsia="Arial" w:hAnsi="Arial"/>
        </w:rPr>
        <w:t xml:space="preserve"/>
      </w:r>
    </w:p>
    <w:p>
      <w:pPr>
        <w:pBdr>
          <w:bottom w:val="single" w:color="C00000" w:sz="12" w:space="4"/>
        </w:pBdr>
        <w:jc w:val="center"/>
      </w:pPr>
      <w:r>
        <w:rPr>
          <w:rFonts w:ascii="Arial" w:cs="Arial" w:eastAsia="Arial" w:hAnsi="Arial"/>
        </w:rPr>
        <w:t xml:space="preserve"/>
      </w:r>
    </w:p>
    <w:p>
      <w:pPr>
        <w:spacing w:after="200"/>
      </w:pPr>
      <w:r>
        <w:rPr>
          <w:rFonts w:ascii="Arial" w:cs="Arial" w:eastAsia="Arial" w:hAnsi="Arial"/>
        </w:rPr>
        <w:t xml:space="preserve"/>
      </w:r>
    </w:p>
    <w:p>
      <w:pPr>
        <w:jc w:val="center"/>
      </w:pPr>
      <w:r>
        <w:rPr>
          <w:rFonts w:ascii="Arial" w:cs="Arial" w:eastAsia="Arial" w:hAnsi="Arial"/>
          <w:b/>
          <w:bCs/>
          <w:color w:val="C00000"/>
          <w:sz w:val="36"/>
          <w:szCs w:val="36"/>
        </w:rPr>
        <w:t xml:space="preserve">AUDITORIA INTEGRAL DEL PLAN ESTRATEGICO</w:t>
      </w:r>
    </w:p>
    <w:p>
      <w:pPr>
        <w:jc w:val="center"/>
      </w:pPr>
      <w:r>
        <w:rPr>
          <w:rFonts w:ascii="Arial" w:cs="Arial" w:eastAsia="Arial" w:hAnsi="Arial"/>
          <w:color w:val="404040"/>
          <w:sz w:val="24"/>
          <w:szCs w:val="24"/>
        </w:rPr>
        <w:t xml:space="preserve">Stages 10-16: Seguridad, Eficiencia, Arquitectura, Gaps</w:t>
      </w:r>
    </w:p>
    <w:p>
      <w:pPr>
        <w:spacing w:after="600"/>
      </w:pPr>
      <w:r>
        <w:rPr>
          <w:rFonts w:ascii="Arial" w:cs="Arial" w:eastAsia="Arial" w:hAnsi="Arial"/>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5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Tipo</w:t>
            </w:r>
          </w:p>
        </w:tc>
        <w:tc>
          <w:tcPr>
            <w:tcW w:type="dxa" w:w="5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Auditoria Tecnica Integral</w:t>
            </w:r>
          </w:p>
        </w:tc>
      </w:tr>
      <w:tr>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Alcance</w:t>
            </w:r>
          </w:p>
        </w:tc>
        <w:tc>
          <w:tcPr>
            <w:tcW w:type="dxa" w:w="53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Estrategico Stages 10-16 + Stage 16 Detallado</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Fecha</w:t>
            </w:r>
          </w:p>
        </w:tc>
        <w:tc>
          <w:tcPr>
            <w:tcW w:type="dxa" w:w="5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Abril 2026</w:t>
            </w:r>
          </w:p>
        </w:tc>
      </w:tr>
      <w:tr>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w:t>
            </w:r>
          </w:p>
        </w:tc>
        <w:tc>
          <w:tcPr>
            <w:tcW w:type="dxa" w:w="53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CommUP Architecture Board + IA</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Clasificacion</w:t>
            </w:r>
          </w:p>
        </w:tc>
        <w:tc>
          <w:tcPr>
            <w:tcW w:type="dxa" w:w="5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CONFIDENCIAL - Uso Interno</w:t>
            </w:r>
          </w:p>
        </w:tc>
      </w:tr>
      <w:tr>
        <w:tc>
          <w:tcPr>
            <w:tcW w:type="dxa" w:w="3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Severidades encontradas</w:t>
            </w:r>
          </w:p>
        </w:tc>
        <w:tc>
          <w:tcPr>
            <w:tcW w:type="dxa" w:w="53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CRITICAS | 5 ALTAS | 8 MEDIAS | 4 BAJAS</w:t>
            </w:r>
          </w:p>
        </w:tc>
      </w:tr>
    </w:tbl>
    <w:p>
      <w:pPr>
        <w:spacing w:after="400"/>
      </w:pPr>
      <w:r>
        <w:rPr>
          <w:rFonts w:ascii="Arial" w:cs="Arial" w:eastAsia="Arial" w:hAnsi="Arial"/>
        </w:rPr>
        <w:t xml:space="preserve"/>
      </w:r>
    </w:p>
    <w:p>
      <w:pPr>
        <w:jc w:val="center"/>
      </w:pPr>
      <w:r>
        <w:rPr>
          <w:rFonts w:ascii="Arial" w:cs="Arial" w:eastAsia="Arial" w:hAnsi="Arial"/>
          <w:i/>
          <w:iCs/>
          <w:color w:val="7F7F7F"/>
          <w:sz w:val="20"/>
          <w:szCs w:val="20"/>
        </w:rPr>
        <w:t xml:space="preserve">Este documento evalua coherencia arquitectonica, brechas de seguridad, </w:t>
      </w:r>
      <w:r>
        <w:rPr>
          <w:rFonts w:ascii="Arial" w:cs="Arial" w:eastAsia="Arial" w:hAnsi="Arial"/>
          <w:i/>
          <w:iCs/>
          <w:color w:val="7F7F7F"/>
          <w:sz w:val="20"/>
          <w:szCs w:val="20"/>
        </w:rPr>
        <w:t xml:space="preserve">eficiencia del roadmap, y gaps no cubiertos en el plan estrategico de CommUP.</w:t>
      </w:r>
    </w:p>
    <w:p>
      <w:pPr>
        <w:sectPr>
          <w:pgSz w:w="12240" w:h="15840" w:orient="portrait"/>
          <w:pgMar w:top="720" w:right="1080" w:bottom="720" w:left="1080" w:header="708" w:footer="708" w:gutter="0"/>
          <w:pgNumType/>
          <w:docGrid w:linePitch="360"/>
        </w:sectPr>
      </w:pPr>
    </w:p>
    <w:p>
      <w:pPr>
        <w:pStyle w:val="Heading1"/>
        <w:pBdr>
          <w:bottom w:val="single" w:color="00B0F0" w:sz="8" w:space="4"/>
        </w:pBdr>
        <w:spacing w:after="200" w:before="400"/>
      </w:pPr>
      <w:r>
        <w:rPr>
          <w:rFonts w:ascii="Arial" w:cs="Arial" w:eastAsia="Arial" w:hAnsi="Arial"/>
          <w:b/>
          <w:bCs/>
          <w:color w:val="1F4E79"/>
          <w:sz w:val="32"/>
          <w:szCs w:val="32"/>
        </w:rPr>
        <w:t xml:space="preserve">1. Resumen Ejecutivo de la Auditoria</w:t>
      </w:r>
    </w:p>
    <w:p>
      <w:pPr>
        <w:spacing w:after="120"/>
      </w:pPr>
      <w:r>
        <w:rPr>
          <w:rFonts w:ascii="Arial" w:cs="Arial" w:eastAsia="Arial" w:hAnsi="Arial"/>
        </w:rPr>
        <w:t xml:space="preserve">Se ha realizado una auditoria integral del Plan Estrategico de CommUP (documento </w:t>
      </w:r>
      <w:r>
        <w:rPr>
          <w:rFonts w:ascii="Arial" w:cs="Arial" w:eastAsia="Arial" w:hAnsi="Arial"/>
          <w:b/>
          <w:bCs/>
        </w:rPr>
        <w:t xml:space="preserve">robust-honking-hopper.md</w:t>
      </w:r>
      <w:r>
        <w:rPr>
          <w:rFonts w:ascii="Arial" w:cs="Arial" w:eastAsia="Arial" w:hAnsi="Arial"/>
        </w:rPr>
        <w:t xml:space="preserve">) y del documento tecnico detallado del </w:t>
      </w:r>
      <w:r>
        <w:rPr>
          <w:rFonts w:ascii="Arial" w:cs="Arial" w:eastAsia="Arial" w:hAnsi="Arial"/>
          <w:b/>
          <w:bCs/>
        </w:rPr>
        <w:t xml:space="preserve">Stage 16 (Handover Bridge + IIoT Hooks)</w:t>
      </w:r>
      <w:r>
        <w:rPr>
          <w:rFonts w:ascii="Arial" w:cs="Arial" w:eastAsia="Arial" w:hAnsi="Arial"/>
        </w:rPr>
        <w:t xml:space="preserve">. El analisis cubre 6 dimensiones: coherencia arquitectonica, seguridad, eficiencia del roadmap, decisiones de stack, gaps no cubiertos y consistencia inter-documentos.</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Veredicto General</w:t>
      </w:r>
    </w:p>
    <w:p>
      <w:pPr>
        <w:spacing w:after="120"/>
      </w:pPr>
      <w:r>
        <w:rPr>
          <w:rFonts w:ascii="Arial" w:cs="Arial" w:eastAsia="Arial" w:hAnsi="Arial"/>
        </w:rPr>
        <w:t xml:space="preserve">El plan es </w:t>
      </w:r>
      <w:r>
        <w:rPr>
          <w:rFonts w:ascii="Arial" w:cs="Arial" w:eastAsia="Arial" w:hAnsi="Arial"/>
          <w:b/>
          <w:bCs/>
        </w:rPr>
        <w:t xml:space="preserve">arquitectonicamente solido</w:t>
      </w:r>
      <w:r>
        <w:rPr>
          <w:rFonts w:ascii="Arial" w:cs="Arial" w:eastAsia="Arial" w:hAnsi="Arial"/>
        </w:rPr>
        <w:t xml:space="preserve"> y las decisiones de stack son </w:t>
      </w:r>
      <w:r>
        <w:rPr>
          <w:rFonts w:ascii="Arial" w:cs="Arial" w:eastAsia="Arial" w:hAnsi="Arial"/>
          <w:b/>
          <w:bCs/>
        </w:rPr>
        <w:t xml:space="preserve">correctas y bien fundamentadas</w:t>
      </w:r>
      <w:r>
        <w:rPr>
          <w:rFonts w:ascii="Arial" w:cs="Arial" w:eastAsia="Arial" w:hAnsi="Arial"/>
        </w:rPr>
        <w:t xml:space="preserve">. Sin embargo, se detectaron </w:t>
      </w:r>
      <w:r>
        <w:rPr>
          <w:rFonts w:ascii="Arial" w:cs="Arial" w:eastAsia="Arial" w:hAnsi="Arial"/>
          <w:b/>
          <w:bCs/>
        </w:rPr>
        <w:t xml:space="preserve">3 hallazgos CRITICOS</w:t>
      </w:r>
      <w:r>
        <w:rPr>
          <w:rFonts w:ascii="Arial" w:cs="Arial" w:eastAsia="Arial" w:hAnsi="Arial"/>
        </w:rPr>
        <w:t xml:space="preserve"> que deben resolverse antes de continuar a produccion, y </w:t>
      </w:r>
      <w:r>
        <w:rPr>
          <w:rFonts w:ascii="Arial" w:cs="Arial" w:eastAsia="Arial" w:hAnsi="Arial"/>
          <w:b/>
          <w:bCs/>
        </w:rPr>
        <w:t xml:space="preserve">5 hallazgos ALTOS</w:t>
      </w:r>
      <w:r>
        <w:rPr>
          <w:rFonts w:ascii="Arial" w:cs="Arial" w:eastAsia="Arial" w:hAnsi="Arial"/>
        </w:rPr>
        <w:t xml:space="preserve"> que impactan la viabilidad del roadmap en sus tiempos estimados. El plan tiene una fortaleza notable: la "regla de oro" de feature-flagging y produccion continua es acertada y reduce riesgo de entrega.</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Scorecard Global</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48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11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4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Veredicto</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Coherencia Arquitectonica</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 / 10</w:t>
            </w:r>
          </w:p>
        </w:tc>
        <w:tc>
          <w:tcPr>
            <w:tcW w:type="dxa" w:w="4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Solida. 5 capas bien definidas. Dos inconsistencias menores.</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w:t>
            </w:r>
          </w:p>
        </w:tc>
        <w:tc>
          <w:tcPr>
            <w:tcW w:type="dxa" w:w="11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 10</w:t>
            </w:r>
          </w:p>
        </w:tc>
        <w:tc>
          <w:tcPr>
            <w:tcW w:type="dxa" w:w="4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DEFICIENTE. RLS incompleto + sin cifrado de tokens = riesgo real en produccion.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Eficiencia del Roadmap</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 / 10</w:t>
            </w:r>
          </w:p>
        </w:tc>
        <w:tc>
          <w:tcPr>
            <w:tcW w:type="dxa" w:w="4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Buena secuencia pero tiempos subestimados en 3 stages.</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Decisiones de Stack</w:t>
            </w:r>
          </w:p>
        </w:tc>
        <w:tc>
          <w:tcPr>
            <w:tcW w:type="dxa" w:w="11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 10</w:t>
            </w:r>
          </w:p>
        </w:tc>
        <w:tc>
          <w:tcPr>
            <w:tcW w:type="dxa" w:w="4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Excelente. Limites bien mapeados. Solo 1 riesgo de vendor lock-in.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Gaps No Cubiertos</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 10</w:t>
            </w:r>
          </w:p>
        </w:tc>
        <w:tc>
          <w:tcPr>
            <w:tcW w:type="dxa" w:w="4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Faltan: testing strategy, DR/backup, observability, compliance Oil&amp;Gas.</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Consistencia Stage 16 vs Plan</w:t>
            </w:r>
          </w:p>
        </w:tc>
        <w:tc>
          <w:tcPr>
            <w:tcW w:type="dxa" w:w="11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 10</w:t>
            </w:r>
          </w:p>
        </w:tc>
        <w:tc>
          <w:tcPr>
            <w:tcW w:type="dxa" w:w="4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Muy buena. Stage 16 detallado expande correctamente el plan maestro.</w:t>
            </w:r>
          </w:p>
        </w:tc>
      </w:tr>
    </w:tbl>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2. Auditoria de Seguridad</w:t>
      </w:r>
    </w:p>
    <w:p>
      <w:pPr>
        <w:spacing w:after="120"/>
      </w:pPr>
      <w:r>
        <w:rPr>
          <w:rFonts w:ascii="Arial" w:cs="Arial" w:eastAsia="Arial" w:hAnsi="Arial"/>
        </w:rPr>
        <w:t xml:space="preserve">Esta seccion es la de mayor severidad. En un contexto Oil &amp; Gas donde </w:t>
      </w:r>
      <w:r>
        <w:rPr>
          <w:rFonts w:ascii="Arial" w:cs="Arial" w:eastAsia="Arial" w:hAnsi="Arial"/>
          <w:b/>
          <w:bCs/>
        </w:rPr>
        <w:t xml:space="preserve">la trazabilidad legal y el aislamiento multi-tenant son requisitos contractuales</w:t>
      </w:r>
      <w:r>
        <w:rPr>
          <w:rFonts w:ascii="Arial" w:cs="Arial" w:eastAsia="Arial" w:hAnsi="Arial"/>
        </w:rPr>
        <w:t xml:space="preserve">, las brechas identificadas son bloqueantes para produccion.</w:t>
      </w:r>
    </w:p>
    <w:p>
      <w:pPr>
        <w:spacing w:after="80"/>
      </w:pPr>
      <w:r>
        <w:rPr>
          <w:rFonts w:ascii="Arial" w:cs="Arial" w:eastAsia="Arial" w:hAnsi="Arial"/>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000"/>
        <w:gridCol w:w="27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Severidad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Hallazgo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Recomendacion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S-01</w:t>
            </w:r>
          </w:p>
        </w:tc>
        <w:tc>
          <w:tcPr>
            <w:tcW w:type="dxa" w:w="1000"/>
            <w:tcBorders>
              <w:top w:val="single" w:color="D9D9D9" w:sz="1"/>
              <w:left w:val="single" w:color="D9D9D9" w:sz="1"/>
              <w:bottom w:val="single" w:color="D9D9D9" w:sz="1"/>
              <w:right w:val="single" w:color="D9D9D9" w:sz="1"/>
            </w:tcBorders>
            <w:shd w:fill="FFDFD6"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RLS incompleto en 8+ tablas (certificates, signals, loops, preservation_*, work_plans, kpi_snapshots, interlocks, pid_*). Un usuario autenticado de Org A podria leer/modificar datos de Org B via queries directos a Supabase.</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10.1 DEBE completarse antes de cualquier otro stage. Tests automatizados RLS por tabla.</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S-02</w:t>
            </w:r>
          </w:p>
        </w:tc>
        <w:tc>
          <w:tcPr>
            <w:tcW w:type="dxa" w:w="1000"/>
            <w:tcBorders>
              <w:top w:val="single" w:color="D9D9D9" w:sz="1"/>
              <w:left w:val="single" w:color="D9D9D9" w:sz="1"/>
              <w:bottom w:val="single" w:color="D9D9D9" w:sz="1"/>
              <w:right w:val="single" w:color="D9D9D9" w:sz="1"/>
            </w:tcBorders>
            <w:shd w:fill="FFDFD6"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plan menciona api_keys con "scoped permissions" pero no define: cifrado at-rest, rotacion, revocacion, rate limiting por key, IP whitelisting. Una API key comprometida = acceso total a la org.</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Definir modelo de seguridad de API keys: encryption (AES-256-GCM), hash SHA-256 para lookup, rotation policy, scope granular R/W por recurso.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S-03</w:t>
            </w:r>
          </w:p>
        </w:tc>
        <w:tc>
          <w:tcPr>
            <w:tcW w:type="dxa" w:w="1000"/>
            <w:tcBorders>
              <w:top w:val="single" w:color="D9D9D9" w:sz="1"/>
              <w:left w:val="single" w:color="D9D9D9" w:sz="1"/>
              <w:bottom w:val="single" w:color="D9D9D9" w:sz="1"/>
              <w:right w:val="single" w:color="D9D9D9" w:sz="1"/>
            </w:tcBorders>
            <w:shd w:fill="FFDFD6"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CRITICA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Tokens OAuth de integraciones (org_integrations para Google Drive, SAP) almacenados sin cifrado explicito. Si la BD se compromete, acceso a Drive/SAP de todos los clientes.</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Cifrado de tokens con clave derivada por org (KMS o Vault). Nunca almacenar refresh_token en texto plano.</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S-04</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endpoint /api/v1/signals/samples usa API Key en header (X-CommUP-Signal-Key) pero sin mutual TLS ni IP filtering. Un gateway OPC-UA comprometido en la red de planta podria inyectar datos falsos y disparar auto-commissioning incorrecto.</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(1) IP whitelist por signal_key, (2) HMAC signature en payload, (3) rate limiting estricto, (4) flag "requires_human_confirmation" en reglas auto-commissioning criticas.</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S-05</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Webhook outbound con HMAC signature mencionado pero sin detalle de: key rotation, replay attack prevention (timestamp + nonce), timeout de verificacion. Webhooks sin proteccion = SSRF potencial.</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timestamp validation (&lt;5min), nonce unico, HMAC-SHA256 con key rotable, lista blanca de dominios destino.</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S-06</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domain_events contiene payload JSONB con datos de negocio. Si el audit log es append-only pero no tiene restriccion de lectura granular, un admin de Org A podria ver eventos de Org B.</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RLS en domain_events filtrando por org_id. Politica: solo org propios. Super-admin requiere role explicito.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S-07</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queue (IndexedDB) almacena ITR responses localmente sin cifrado. Un dispositivo perdido en campo expone datos de inspeccion.</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Cifrar IndexedDB storage con Web Crypto API + clave derivada de session token.</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S-08</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Handover Package JSON incluye signature_hash pero no define cadena de custodia: quien genero el hash, con que certificado, validacion de integridad en import a SAP PM.</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Definir PKI: certificado X.509 de CommUP, firma RSA-SHA256, timestamping authority, verificacion en import SAP.</w:t>
            </w:r>
          </w:p>
        </w:tc>
      </w:tr>
    </w:tbl>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3. Coherencia Arquitectonica</w:t>
      </w:r>
    </w:p>
    <w:p>
      <w:pPr>
        <w:pStyle w:val="Heading2"/>
        <w:spacing w:after="160" w:before="300"/>
      </w:pPr>
      <w:r>
        <w:rPr>
          <w:rFonts w:ascii="Arial" w:cs="Arial" w:eastAsia="Arial" w:hAnsi="Arial"/>
          <w:b/>
          <w:bCs/>
          <w:color w:val="2E75B6"/>
          <w:sz w:val="26"/>
          <w:szCs w:val="26"/>
        </w:rPr>
        <w:t xml:space="preserve">3.1 Lo que esta bien (y muy bien)</w:t>
      </w:r>
    </w:p>
    <w:p>
      <w:pPr>
        <w:pStyle w:val="ListParagraph"/>
        <w:numPr>
          <w:ilvl w:val="0"/>
          <w:numId w:val="2"/>
        </w:numPr>
        <w:spacing w:after="80"/>
      </w:pPr>
      <w:r>
        <w:rPr>
          <w:rFonts w:ascii="Arial" w:cs="Arial" w:eastAsia="Arial" w:hAnsi="Arial"/>
        </w:rPr>
        <w:t xml:space="preserve">La arquitectura de 5 capas es clara y respeta separacion de concerns. Cada stage sabe en que capa opera.</w:t>
      </w:r>
    </w:p>
    <w:p>
      <w:pPr>
        <w:pStyle w:val="ListParagraph"/>
        <w:numPr>
          <w:ilvl w:val="0"/>
          <w:numId w:val="2"/>
        </w:numPr>
        <w:spacing w:after="80"/>
      </w:pPr>
      <w:r>
        <w:rPr>
          <w:rFonts w:ascii="Arial" w:cs="Arial" w:eastAsia="Arial" w:hAnsi="Arial"/>
        </w:rPr>
        <w:t xml:space="preserve">La decision de "monolito modular hasta &gt;50k tags" es acertada. La modularizacion via src/modules/&lt;domain&gt;/ evita la complejidad prematura de microservicios sin perder organizacion.</w:t>
      </w:r>
    </w:p>
    <w:p>
      <w:pPr>
        <w:pStyle w:val="ListParagraph"/>
        <w:numPr>
          <w:ilvl w:val="0"/>
          <w:numId w:val="2"/>
        </w:numPr>
        <w:spacing w:after="80"/>
      </w:pPr>
      <w:r>
        <w:rPr>
          <w:rFonts w:ascii="Arial" w:cs="Arial" w:eastAsia="Arial" w:hAnsi="Arial"/>
        </w:rPr>
        <w:t xml:space="preserve">Event sourcing ligero (domain_events append-only + triggers PG) es el balance correcto entre CQRS completo y "todo hardcoded". Escala bien hasta los volumenes esperados.</w:t>
      </w:r>
    </w:p>
    <w:p>
      <w:pPr>
        <w:pStyle w:val="ListParagraph"/>
        <w:numPr>
          <w:ilvl w:val="0"/>
          <w:numId w:val="2"/>
        </w:numPr>
        <w:spacing w:after="80"/>
      </w:pPr>
      <w:r>
        <w:rPr>
          <w:rFonts w:ascii="Arial" w:cs="Arial" w:eastAsia="Arial" w:hAnsi="Arial"/>
        </w:rPr>
        <w:t xml:space="preserve">La regla "Workers = orquestacion ligera, Supabase = computo pesado" resuelve correctamente la tension entre edge performance y limites de Workers.</w:t>
      </w:r>
    </w:p>
    <w:p>
      <w:pPr>
        <w:pStyle w:val="ListParagraph"/>
        <w:numPr>
          <w:ilvl w:val="0"/>
          <w:numId w:val="2"/>
        </w:numPr>
        <w:spacing w:after="80"/>
      </w:pPr>
      <w:r>
        <w:rPr>
          <w:rFonts w:ascii="Arial" w:cs="Arial" w:eastAsia="Arial" w:hAnsi="Arial"/>
        </w:rPr>
        <w:t xml:space="preserve">El patron "R2 primary, Drive archival" es la decision correcta de almacenamiento. El analisis de por que Drive NO es primario es solido.</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3.2 Inconsistencias detectadas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000"/>
        <w:gridCol w:w="27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Severidad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Hallazgo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Recomendacion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A-01</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11 define Workflow Engine evaluado en "edge functions que escuchan domain_events". Stage 16.4 define Rules Engine evaluado "on ingestion" de signals. Son dos motores de reglas distintos o el mismo? El plan no lo aclara.</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Unificar: un solo RulesEngine service que evalua domain_events (Stage 11) Y signal_ingestion (Stage 16). Evitar dos implementaciones divergentes.</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A-02</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11 usa JsonLogic para condiciones. Stage 16 define DSL propio en JSONB (conditions array con types: SIGNAL_IN_RANGE, SIGNAL_STABLE, etc.). Son esquemas incompatibles.</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DSL de Stage 16 es una extension de JsonLogic con operadores custom, no un DSL separado. Documentar como "JsonLogic + CommUP Signal Extensions".</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A-03</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12 define tag_360 como "SQL view materializada". Stage 16 necesita "ultima senal IIoT" en esa vista. Pero signal_values vive en TimescaleDB (extension separada). El REFRESH de la materialized view incluira la hypertable?</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Usar lateral join a signal_values en vez de incluirlo en la materialized view. O mantener un campo last_signal_value en tabla signals que se actualiza en ingestion.</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A-04</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plan dice "Next Route Handlers para API publica" (Stage 13) pero el Stage 16 detallado describe endpoints con estilo NestJS (decorators, Injectable, etc.). Hay que decidir: Next.js Route Handlers o NestJS?</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 CommUP usa Next.js, los endpoints son Route Handlers. El codigo NestJS del Stage 16 es pseudocodigo ilustrativo. Aclarar en documentacion.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A-05</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BAJA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diagrama de 5 capas incluye "GraphQL API" en Integration Layer pero ningun stage lo implementa. Se queda como deuda tecnica silenciosa.</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Eliminar GraphQL del diagrama hasta que haya un stage concreto. REST v1 es suficiente para V2.</w:t>
            </w:r>
          </w:p>
        </w:tc>
      </w:tr>
    </w:tbl>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4. Eficiencia del Roadmap</w:t>
      </w:r>
    </w:p>
    <w:p>
      <w:pPr>
        <w:pStyle w:val="Heading2"/>
        <w:spacing w:after="160" w:before="300"/>
      </w:pPr>
      <w:r>
        <w:rPr>
          <w:rFonts w:ascii="Arial" w:cs="Arial" w:eastAsia="Arial" w:hAnsi="Arial"/>
          <w:b/>
          <w:bCs/>
          <w:color w:val="2E75B6"/>
          <w:sz w:val="26"/>
          <w:szCs w:val="26"/>
        </w:rPr>
        <w:t xml:space="preserve">4.1 Analisis de Ruta Critica</w:t>
      </w:r>
    </w:p>
    <w:p>
      <w:pPr>
        <w:shd w:fill="F5F5F5" w:val="clear"/>
        <w:spacing w:after="40"/>
        <w:ind w:left="360"/>
      </w:pPr>
      <w:r>
        <w:rPr>
          <w:rFonts w:ascii="Courier New" w:cs="Courier New" w:eastAsia="Courier New" w:hAnsi="Courier New"/>
          <w:color w:val="C55A11"/>
          <w:sz w:val="18"/>
          <w:szCs w:val="18"/>
        </w:rPr>
        <w:t xml:space="preserve"/>
      </w:r>
    </w:p>
    <w:p>
      <w:pPr>
        <w:shd w:fill="F5F5F5" w:val="clear"/>
        <w:spacing w:after="40"/>
        <w:ind w:left="360"/>
      </w:pPr>
      <w:r>
        <w:rPr>
          <w:rFonts w:ascii="Courier New" w:cs="Courier New" w:eastAsia="Courier New" w:hAnsi="Courier New"/>
          <w:color w:val="C55A11"/>
          <w:sz w:val="18"/>
          <w:szCs w:val="18"/>
        </w:rPr>
        <w:t xml:space="preserve">  Stage 10 (4-6 sem) ──→ Stage 11 (6-8 sem) ──→ Stage 12 (4-6 sem)</w:t>
      </w:r>
    </w:p>
    <w:p>
      <w:pPr>
        <w:shd w:fill="F5F5F5" w:val="clear"/>
        <w:spacing w:after="40"/>
        <w:ind w:left="360"/>
      </w:pPr>
      <w:r>
        <w:rPr>
          <w:rFonts w:ascii="Courier New" w:cs="Courier New" w:eastAsia="Courier New" w:hAnsi="Courier New"/>
          <w:color w:val="C55A11"/>
          <w:sz w:val="18"/>
          <w:szCs w:val="18"/>
        </w:rPr>
        <w:t xml:space="preserve">       │                       │                       │</w:t>
      </w:r>
    </w:p>
    <w:p>
      <w:pPr>
        <w:shd w:fill="F5F5F5" w:val="clear"/>
        <w:spacing w:after="40"/>
        <w:ind w:left="360"/>
      </w:pPr>
      <w:r>
        <w:rPr>
          <w:rFonts w:ascii="Courier New" w:cs="Courier New" w:eastAsia="Courier New" w:hAnsi="Courier New"/>
          <w:color w:val="C55A11"/>
          <w:sz w:val="18"/>
          <w:szCs w:val="18"/>
        </w:rPr>
        <w:t xml:space="preserve">       │                       │                       ├──→ Stage 13 (4 sem)</w:t>
      </w:r>
    </w:p>
    <w:p>
      <w:pPr>
        <w:shd w:fill="F5F5F5" w:val="clear"/>
        <w:spacing w:after="40"/>
        <w:ind w:left="360"/>
      </w:pPr>
      <w:r>
        <w:rPr>
          <w:rFonts w:ascii="Courier New" w:cs="Courier New" w:eastAsia="Courier New" w:hAnsi="Courier New"/>
          <w:color w:val="C55A11"/>
          <w:sz w:val="18"/>
          <w:szCs w:val="18"/>
        </w:rPr>
        <w:t xml:space="preserve">       │                       │                       │         │</w:t>
      </w:r>
    </w:p>
    <w:p>
      <w:pPr>
        <w:shd w:fill="F5F5F5" w:val="clear"/>
        <w:spacing w:after="40"/>
        <w:ind w:left="360"/>
      </w:pPr>
      <w:r>
        <w:rPr>
          <w:rFonts w:ascii="Courier New" w:cs="Courier New" w:eastAsia="Courier New" w:hAnsi="Courier New"/>
          <w:color w:val="C55A11"/>
          <w:sz w:val="18"/>
          <w:szCs w:val="18"/>
        </w:rPr>
        <w:t xml:space="preserve">       │                       └───────────────────────┤         ├──→ Stage 16 (8 sem)</w:t>
      </w:r>
    </w:p>
    <w:p>
      <w:pPr>
        <w:shd w:fill="F5F5F5" w:val="clear"/>
        <w:spacing w:after="40"/>
        <w:ind w:left="360"/>
      </w:pPr>
      <w:r>
        <w:rPr>
          <w:rFonts w:ascii="Courier New" w:cs="Courier New" w:eastAsia="Courier New" w:hAnsi="Courier New"/>
          <w:color w:val="C55A11"/>
          <w:sz w:val="18"/>
          <w:szCs w:val="18"/>
        </w:rPr>
        <w:t xml:space="preserve">       │                                               │         │</w:t>
      </w:r>
    </w:p>
    <w:p>
      <w:pPr>
        <w:shd w:fill="F5F5F5" w:val="clear"/>
        <w:spacing w:after="40"/>
        <w:ind w:left="360"/>
      </w:pPr>
      <w:r>
        <w:rPr>
          <w:rFonts w:ascii="Courier New" w:cs="Courier New" w:eastAsia="Courier New" w:hAnsi="Courier New"/>
          <w:color w:val="C55A11"/>
          <w:sz w:val="18"/>
          <w:szCs w:val="18"/>
        </w:rPr>
        <w:t xml:space="preserve">       └───────────────────────────────────────────────┤    Stage 14 (6 sem)</w:t>
      </w:r>
    </w:p>
    <w:p>
      <w:pPr>
        <w:shd w:fill="F5F5F5" w:val="clear"/>
        <w:spacing w:after="40"/>
        <w:ind w:left="360"/>
      </w:pPr>
      <w:r>
        <w:rPr>
          <w:rFonts w:ascii="Courier New" w:cs="Courier New" w:eastAsia="Courier New" w:hAnsi="Courier New"/>
          <w:color w:val="C55A11"/>
          <w:sz w:val="18"/>
          <w:szCs w:val="18"/>
        </w:rPr>
        <w:t xml:space="preserve">                                                       │</w:t>
      </w:r>
    </w:p>
    <w:p>
      <w:pPr>
        <w:shd w:fill="F5F5F5" w:val="clear"/>
        <w:spacing w:after="40"/>
        <w:ind w:left="360"/>
      </w:pPr>
      <w:r>
        <w:rPr>
          <w:rFonts w:ascii="Courier New" w:cs="Courier New" w:eastAsia="Courier New" w:hAnsi="Courier New"/>
          <w:color w:val="C55A11"/>
          <w:sz w:val="18"/>
          <w:szCs w:val="18"/>
        </w:rPr>
        <w:t xml:space="preserve">                                                  Stage 15 (6-8 sem)</w:t>
      </w:r>
    </w:p>
    <w:p>
      <w:pPr>
        <w:shd w:fill="F5F5F5" w:val="clear"/>
        <w:spacing w:after="40"/>
        <w:ind w:left="360"/>
      </w:pPr>
      <w:r>
        <w:rPr>
          <w:rFonts w:ascii="Courier New" w:cs="Courier New" w:eastAsia="Courier New" w:hAnsi="Courier New"/>
          <w:color w:val="C55A11"/>
          <w:sz w:val="18"/>
          <w:szCs w:val="18"/>
        </w:rPr>
        <w:t xml:space="preserve"/>
      </w:r>
    </w:p>
    <w:p>
      <w:pPr>
        <w:shd w:fill="F5F5F5" w:val="clear"/>
        <w:spacing w:after="40"/>
        <w:ind w:left="360"/>
      </w:pPr>
      <w:r>
        <w:rPr>
          <w:rFonts w:ascii="Courier New" w:cs="Courier New" w:eastAsia="Courier New" w:hAnsi="Courier New"/>
          <w:color w:val="C55A11"/>
          <w:sz w:val="18"/>
          <w:szCs w:val="18"/>
        </w:rPr>
        <w:t xml:space="preserve">  Ruta critica: 10 → 11 → 12 → 13 → 16 = 26-32 semanas (6-8 meses)</w:t>
      </w:r>
    </w:p>
    <w:p>
      <w:pPr>
        <w:shd w:fill="F5F5F5" w:val="clear"/>
        <w:spacing w:after="40"/>
        <w:ind w:left="360"/>
      </w:pPr>
      <w:r>
        <w:rPr>
          <w:rFonts w:ascii="Courier New" w:cs="Courier New" w:eastAsia="Courier New" w:hAnsi="Courier New"/>
          <w:color w:val="C55A11"/>
          <w:sz w:val="18"/>
          <w:szCs w:val="18"/>
        </w:rPr>
        <w:t xml:space="preserve">  Con paralelizacion maxima:  10 → 11/14 → 12/15 → 13/16 = 22-28 sem</w:t>
      </w:r>
    </w:p>
    <w:p>
      <w:pPr>
        <w:shd w:fill="F5F5F5" w:val="clear"/>
        <w:spacing w:after="40"/>
        <w:ind w:left="360"/>
      </w:pPr>
      <w:r>
        <w:rPr>
          <w:rFonts w:ascii="Courier New" w:cs="Courier New" w:eastAsia="Courier New" w:hAnsi="Courier New"/>
          <w:color w:val="C55A11"/>
          <w:sz w:val="18"/>
          <w:szCs w:val="18"/>
        </w:rPr>
        <w:t xml:space="preserve"/>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4.2 Tiempos Subestimados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000"/>
        <w:gridCol w:w="27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Severidad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Hallazgo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Recomendacion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R-01</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10 estimado en 4-6 semanas. RLS en 8+ tablas con tests + domain_events con triggers PG + System Readiness engine PL/pgSQL + Audit UI. Realista: 6-8 semanas minimo. RLS solo, con tests E2E, toma 3-4 semanas.</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Ajustar a 7-9 semanas. Priorizar: RLS primero (semana 1-4), luego domain_events (5-6), readiness (7-8), audit UI (9).</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R-02</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14 (PWA v2) estimado en 6 semanas. Service Worker offline-first + QR/NFC + Voice + Push + Conflict resolution son 6 features independientes y complejas. Service Worker solo con offline-first correcto toma 3-4 semanas.</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Ajustar a 8-10 semanas. O dividir en 14A (SW + offline + manifest) y 14B (QR + voice + push + conflict).</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R-03</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16 estimado en 8 semanas en el plan maestro pero el Stage 16 detallado desglosa 9 sprints de 15 semanas. Hay inconsistencia.</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Adoptar la estimacion detallada de 15 semanas. El plan maestro debe actualizarse.</w:t>
            </w:r>
          </w:p>
        </w:tc>
      </w:tr>
    </w:tbl>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4.3 Oportunidades de Paralelizacion</w:t>
      </w:r>
    </w:p>
    <w:p>
      <w:pPr>
        <w:pStyle w:val="ListParagraph"/>
        <w:numPr>
          <w:ilvl w:val="0"/>
          <w:numId w:val="2"/>
        </w:numPr>
        <w:spacing w:after="80"/>
      </w:pPr>
      <w:r>
        <w:rPr>
          <w:rFonts w:ascii="Arial" w:cs="Arial" w:eastAsia="Arial" w:hAnsi="Arial"/>
        </w:rPr>
        <w:t xml:space="preserve">Stage 14 (PWA v2) NO depende de Stage 11 ni 12. Puede empezar en paralelo con Stage 11 tras completar Stage 10.</w:t>
      </w:r>
    </w:p>
    <w:p>
      <w:pPr>
        <w:pStyle w:val="ListParagraph"/>
        <w:numPr>
          <w:ilvl w:val="0"/>
          <w:numId w:val="2"/>
        </w:numPr>
        <w:spacing w:after="80"/>
      </w:pPr>
      <w:r>
        <w:rPr>
          <w:rFonts w:ascii="Arial" w:cs="Arial" w:eastAsia="Arial" w:hAnsi="Arial"/>
        </w:rPr>
        <w:t xml:space="preserve">Stage 15 (Analytics/AI) depende de domain_events (Stage 10.2) pero NO del Workflow Engine. Puede empezar tras Stage 10, en paralelo con Stage 11.</w:t>
      </w:r>
    </w:p>
    <w:p>
      <w:pPr>
        <w:pStyle w:val="ListParagraph"/>
        <w:numPr>
          <w:ilvl w:val="0"/>
          <w:numId w:val="2"/>
        </w:numPr>
        <w:spacing w:after="80"/>
      </w:pPr>
      <w:r>
        <w:rPr>
          <w:rFonts w:ascii="Arial" w:cs="Arial" w:eastAsia="Arial" w:hAnsi="Arial"/>
        </w:rPr>
        <w:t xml:space="preserve">Stage 13.1-13.2 (API + auth) puede empezar tras Stage 10 (necesita domain_events pero no workflow). Stage 13.3 (webhooks) si depende de workflow.</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4.4 Roadmap Optimizado Propuesto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3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Track A (Core)</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Track B (UX/Field)</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Track C (Integraciones)</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10: RLS + Events + Readiness</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(Backlog / refinamiento PWA)</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(Backlog / API design)</w:t>
            </w:r>
          </w:p>
        </w:tc>
      </w:tr>
      <w:tr>
        <w:tc>
          <w:tcPr>
            <w:tcW w:type="dxa" w:w="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11: Workflow Engine</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14A: Service Worker + Offline + QR</w:t>
            </w:r>
          </w:p>
        </w:tc>
        <w:tc>
          <w:tcPr>
            <w:tcW w:type="dxa" w:w="23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13.1-13.2: API keys + REST v1</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12: Digital Twin + Tag 360</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14B: Voice + Push + Conflict</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13.3-13.4: Webhooks + P6 POC</w:t>
            </w:r>
          </w:p>
        </w:tc>
      </w:tr>
      <w:tr>
        <w:tc>
          <w:tcPr>
            <w:tcW w:type="dxa" w:w="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15: Analytics + AI</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 field testing)</w:t>
            </w:r>
          </w:p>
        </w:tc>
        <w:tc>
          <w:tcPr>
            <w:tcW w:type="dxa" w:w="23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16 Sprint 1-4: DB + JSON export</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9-10</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15: Completar + data quality</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(Beta field testers)</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16 Sprint 5-9: Connectors + IIoT</w:t>
            </w:r>
          </w:p>
        </w:tc>
      </w:tr>
      <w:tr>
        <w:tc>
          <w:tcPr>
            <w:tcW w:type="dxa" w:w="8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Gate 16: Demo E2E</w:t>
            </w:r>
          </w:p>
        </w:tc>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Gate 14: PWA field test</w:t>
            </w:r>
          </w:p>
        </w:tc>
        <w:tc>
          <w:tcPr>
            <w:tcW w:type="dxa" w:w="23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 Gate 16: SAP PM import test</w:t>
            </w:r>
          </w:p>
        </w:tc>
      </w:tr>
    </w:tbl>
    <w:p>
      <w:pPr>
        <w:spacing w:after="120"/>
      </w:pPr>
      <w:r>
        <w:rPr>
          <w:rFonts w:ascii="Arial" w:cs="Arial" w:eastAsia="Arial" w:hAnsi="Arial"/>
          <w:b/>
          <w:bCs/>
        </w:rPr>
        <w:t xml:space="preserve">Resultado: </w:t>
      </w:r>
      <w:r>
        <w:rPr>
          <w:rFonts w:ascii="Arial" w:cs="Arial" w:eastAsia="Arial" w:hAnsi="Arial"/>
        </w:rPr>
        <w:t xml:space="preserve">11 meses vs 15+ meses secuenciales. Ahorro de 4+ meses manteniendo calidad.</w:t>
      </w:r>
    </w:p>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5. Validacion de Decisiones de Stack</w:t>
      </w:r>
    </w:p>
    <w:p>
      <w:pPr>
        <w:pStyle w:val="Heading2"/>
        <w:spacing w:after="160" w:before="300"/>
      </w:pPr>
      <w:r>
        <w:rPr>
          <w:rFonts w:ascii="Arial" w:cs="Arial" w:eastAsia="Arial" w:hAnsi="Arial"/>
          <w:b/>
          <w:bCs/>
          <w:color w:val="2E75B6"/>
          <w:sz w:val="26"/>
          <w:szCs w:val="26"/>
        </w:rPr>
        <w:t xml:space="preserve">5.1 Decisiones Correctas (confirmadas)</w:t>
      </w:r>
    </w:p>
    <w:p>
      <w:pPr>
        <w:pStyle w:val="ListParagraph"/>
        <w:numPr>
          <w:ilvl w:val="0"/>
          <w:numId w:val="2"/>
        </w:numPr>
        <w:spacing w:after="80"/>
      </w:pPr>
      <w:r>
        <w:rPr>
          <w:rFonts w:ascii="Arial" w:cs="Arial" w:eastAsia="Arial" w:hAnsi="Arial"/>
        </w:rPr>
        <w:t xml:space="preserve">Monolito modular Next.js + Supabase: CORRECTO. Para el volumen esperado (&lt;50k tags/proyecto), un monolito bien modularizado supera a microservicios en velocidad de desarrollo, debugging y costo operativo.</w:t>
      </w:r>
    </w:p>
    <w:p>
      <w:pPr>
        <w:pStyle w:val="ListParagraph"/>
        <w:numPr>
          <w:ilvl w:val="0"/>
          <w:numId w:val="2"/>
        </w:numPr>
        <w:spacing w:after="80"/>
      </w:pPr>
      <w:r>
        <w:rPr>
          <w:rFonts w:ascii="Arial" w:cs="Arial" w:eastAsia="Arial" w:hAnsi="Arial"/>
        </w:rPr>
        <w:t xml:space="preserve">PostgreSQL + JSONB (no MongoDB): CORRECTO. El modelo relacional de CommUP (TAG-ITR-LOOP-SYSTEM-CERT-PUNCH) es inherentemente relacional. JSONB cubre los casos flexibles (ITR responses).</w:t>
      </w:r>
    </w:p>
    <w:p>
      <w:pPr>
        <w:pStyle w:val="ListParagraph"/>
        <w:numPr>
          <w:ilvl w:val="0"/>
          <w:numId w:val="2"/>
        </w:numPr>
        <w:spacing w:after="80"/>
      </w:pPr>
      <w:r>
        <w:rPr>
          <w:rFonts w:ascii="Arial" w:cs="Arial" w:eastAsia="Arial" w:hAnsi="Arial"/>
        </w:rPr>
        <w:t xml:space="preserve">Cloudflare R2 sobre Supabase Storage: CORRECTO. Zero egress, signed URLs, edge caching. Supabase Storage tiene limite de 100GB y no tiene CDN edge optimizado.</w:t>
      </w:r>
    </w:p>
    <w:p>
      <w:pPr>
        <w:pStyle w:val="ListParagraph"/>
        <w:numPr>
          <w:ilvl w:val="0"/>
          <w:numId w:val="2"/>
        </w:numPr>
        <w:spacing w:after="80"/>
      </w:pPr>
      <w:r>
        <w:rPr>
          <w:rFonts w:ascii="Arial" w:cs="Arial" w:eastAsia="Arial" w:hAnsi="Arial"/>
        </w:rPr>
        <w:t xml:space="preserve">PWA sobre mobile nativo: CORRECTO para V2. El 5% no cubierto (push notifications en iOS &lt;16.4, NFC en algunos Android) no justifica doble codebase.</w:t>
      </w:r>
    </w:p>
    <w:p>
      <w:pPr>
        <w:pStyle w:val="ListParagraph"/>
        <w:numPr>
          <w:ilvl w:val="0"/>
          <w:numId w:val="2"/>
        </w:numPr>
        <w:spacing w:after="80"/>
      </w:pPr>
      <w:r>
        <w:rPr>
          <w:rFonts w:ascii="Arial" w:cs="Arial" w:eastAsia="Arial" w:hAnsi="Arial"/>
        </w:rPr>
        <w:t xml:space="preserve">TimescaleDB sobre InfluxDB/ClickHouse: CORRECTO. Se mantiene dentro del ecosistema PostgreSQL, sin nueva infra.</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5.2 Riesgos de Stack Identificados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000"/>
        <w:gridCol w:w="27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Severidad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Hallazgo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Recomendacion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SK-01</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Dependencia fuerte en Supabase para: auth, RLS, Realtime, Edge Functions, Storage, pg_net, timescaledb. Si Supabase cambia pricing o depreca features, la migracion es costosa.</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Mitigacion: toda la logica critica esta en PostgreSQL estandar (no en APIs propietarias de Supabase). RLS, triggers, funciones PL/pgSQL son portables. Edge Functions son las unicas dependientes.</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SK-02</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Cloudflare Workers CPU limit (30s) impacta Stage 10.3 (Readiness Engine). compute_system_readiness() sobre un sistema con 5000 tags puede exceder 30s si se ejecuta en Worker.</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Ya mitigado en plan: readiness vive en PL/pgSQL (Supabase DB). Pero asegurar que NINGUN path de UI llame readiness via Worker; siempre directo a Supabase RPC.</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SK-03</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BAJA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Next.js 16 con Cloudflare Workers adapter tiene limitaciones conocidas: no soporta ISR nativo, middleware tiene restricciones de runtime. El plan no menciona estas limitaciones.</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Documentar limitaciones del adapter @cloudflare/next-on-pages. Evaluar si algun feature del Stage 12-14 depende de ISR o middleware avanzado.</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SK-04</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BAJA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TimescaleDB como extension en Supabase Pro requiere plan Pro. Si se opera en self-hosted, hay que manejar la extension manualmente.</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Aceptable. Plan Pro es el target para produccion. Documentar como requisito de infra.</w:t>
            </w:r>
          </w:p>
        </w:tc>
      </w:tr>
    </w:tbl>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6. Gaps No Cubiertos en el Plan</w:t>
      </w:r>
    </w:p>
    <w:p>
      <w:pPr>
        <w:spacing w:after="120"/>
      </w:pPr>
      <w:r>
        <w:rPr>
          <w:rFonts w:ascii="Arial" w:cs="Arial" w:eastAsia="Arial" w:hAnsi="Arial"/>
        </w:rPr>
        <w:t xml:space="preserve">El plan es fuerte en arquitectura de producto y features pero </w:t>
      </w:r>
      <w:r>
        <w:rPr>
          <w:rFonts w:ascii="Arial" w:cs="Arial" w:eastAsia="Arial" w:hAnsi="Arial"/>
          <w:b/>
          <w:bCs/>
        </w:rPr>
        <w:t xml:space="preserve">debil en aspectos operacionales y de compliance</w:t>
      </w:r>
      <w:r>
        <w:rPr>
          <w:rFonts w:ascii="Arial" w:cs="Arial" w:eastAsia="Arial" w:hAnsi="Arial"/>
        </w:rPr>
        <w:t xml:space="preserve"> que son criticos en el contexto Oil &amp; Gas.</w:t>
      </w:r>
    </w:p>
    <w:p>
      <w:pPr>
        <w:spacing w:after="80"/>
      </w:pPr>
      <w:r>
        <w:rPr>
          <w:rFonts w:ascii="Arial" w:cs="Arial" w:eastAsia="Arial" w:hAnsi="Arial"/>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000"/>
        <w:gridCol w:w="27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Severidad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Hallazgo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Recomendacion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G-01</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ESTRATEGIA DE TESTING. Ningun stage define: unit tests, integration tests, E2E tests, load tests (excepto k6 en Stage 16.3). Para un sistema de comisionamiento donde la integridad de datos es critica, la ausencia de testing strategy es un riesgo.</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Agregar como requisito transversal: coverage minimo 70% en modules core (ITR, punch, cert), E2E tests con Playwright para flujos criticos, load tests para readiness engine y signal ingestion.</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G-02</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DISASTER RECOVERY / BACKUP. El plan no menciona: backup de PostgreSQL, RPO/RTO, plan de recuperacion, replicacion cross-region. Un fallo de Supabase = perdida de datos de comisionamiento.</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Pro incluye backups diarios y PITR (7 dias). Documentar: backup adicional a R2 (pg_dump semanal), RPO target &lt;1h, RTO target &lt;4h. Para clientes enterprise: replicacion cross-region.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G-03</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OBSERVABILITY. No hay mencion de: logging estructurado, APM, alertas, metricas de negocio (ITRs/dia, punches abiertos, etc.), health checks. El plan define KPIs en Stage 15 pero no la infra para monitorearlos.</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Agregar: Sentry para error tracking, Cloudflare Analytics + custom Workers analytics, pg_stat_statements para query performance, health endpoint /api/v1/health.</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G-04</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COMPLIANCE Oil&amp;Gas. El plan no menciona: ISO 19650 (gestion de informacion BIM/CDE), IEC 62264 (integracion sistemas empresa-control), ISO 55000 (asset management). Clientes Oil&amp;Gas van a preguntar por compliance.</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Mapear las entidades CommUP a estandares ISO y documentar conformidad. No es implementacion, es documentacion + validacion de que el data model cubre los requisitos.</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G-05</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DATA MIGRATION STRATEGY. Si un cliente viene de ICAPS/WinPCS/SmartPlant, como migran sus datos a CommUP? No hay import API ni herramientas de migracion.</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Agregar al Stage 13 (API): endpoints de import bulk (/api/v1/import/tags, /import/itrs, etc.) con validacion y dry-run mode. CSV + JSON como formatos de entrada.</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G-06</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RATE LIMITING global. Cada endpoint nuevo (signals, webhooks, API publica) menciona rate limiting individualmente pero no hay un middleware unificado.</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rate limiter global en Cloudflare Workers (KV-based) aplicable a todos los endpoints /api/v1/*. Limites por API key, por IP, y por org.</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G-07</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INTERNACIONALIZACION (i18n). CommUP apunta a "referente global" pero el plan no menciona soporte multi-idioma. Clientes Oil&amp;Gas en Oriente Medio, Asia necesitan arabe, chino, etc.</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Agregar i18n framework desde Stage 12 (Digital Twin tiene mucho texto UI). next-intl o similar. Strings externalizadas desde el inicio.</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G-08</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BAJA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FEATURE FLAGS FORMALIZADOS. El plan menciona "feature-flag lo que no este listo" como regla de oro pero no define la infra. Variables de entorno? Cloudflare Workers KV? LaunchDarkly?</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Implementar feature flags via Cloudflare Workers KV: simple, edge-native, sin dependencia externa. Tabla feature_flags en DB para flags por org.</w:t>
            </w:r>
          </w:p>
        </w:tc>
      </w:tr>
    </w:tbl>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7. Consistencia: Stage 16 Detallado vs Plan Maestro</w:t>
      </w:r>
    </w:p>
    <w:p>
      <w:pPr>
        <w:pStyle w:val="Heading2"/>
        <w:spacing w:after="160" w:before="300"/>
      </w:pPr>
      <w:r>
        <w:rPr>
          <w:rFonts w:ascii="Arial" w:cs="Arial" w:eastAsia="Arial" w:hAnsi="Arial"/>
          <w:b/>
          <w:bCs/>
          <w:color w:val="2E75B6"/>
          <w:sz w:val="26"/>
          <w:szCs w:val="26"/>
        </w:rPr>
        <w:t xml:space="preserve">7.1 Elementos bien alineados</w:t>
      </w:r>
    </w:p>
    <w:p>
      <w:pPr>
        <w:pStyle w:val="ListParagraph"/>
        <w:numPr>
          <w:ilvl w:val="0"/>
          <w:numId w:val="2"/>
        </w:numPr>
        <w:spacing w:after="80"/>
      </w:pPr>
      <w:r>
        <w:rPr>
          <w:rFonts w:ascii="Arial" w:cs="Arial" w:eastAsia="Arial" w:hAnsi="Arial"/>
        </w:rPr>
        <w:t xml:space="preserve">Los 4 sub-modulos (16.1-16.4) coinciden exactamente entre ambos documentos.</w:t>
      </w:r>
    </w:p>
    <w:p>
      <w:pPr>
        <w:pStyle w:val="ListParagraph"/>
        <w:numPr>
          <w:ilvl w:val="0"/>
          <w:numId w:val="2"/>
        </w:numPr>
        <w:spacing w:after="80"/>
      </w:pPr>
      <w:r>
        <w:rPr>
          <w:rFonts w:ascii="Arial" w:cs="Arial" w:eastAsia="Arial" w:hAnsi="Arial"/>
        </w:rPr>
        <w:t xml:space="preserve">La estrategia de conectores SAP PM + Maximo como POC es consistente con la vision "ecosystem-ready" del plan.</w:t>
      </w:r>
    </w:p>
    <w:p>
      <w:pPr>
        <w:pStyle w:val="ListParagraph"/>
        <w:numPr>
          <w:ilvl w:val="0"/>
          <w:numId w:val="2"/>
        </w:numPr>
        <w:spacing w:after="80"/>
      </w:pPr>
      <w:r>
        <w:rPr>
          <w:rFonts w:ascii="Arial" w:cs="Arial" w:eastAsia="Arial" w:hAnsi="Arial"/>
        </w:rPr>
        <w:t xml:space="preserve">El uso de TimescaleDB para signal_values esta alineado con la decision arquitectonica 2.1.6 del plan.</w:t>
      </w:r>
    </w:p>
    <w:p>
      <w:pPr>
        <w:pStyle w:val="ListParagraph"/>
        <w:numPr>
          <w:ilvl w:val="0"/>
          <w:numId w:val="2"/>
        </w:numPr>
        <w:spacing w:after="80"/>
      </w:pPr>
      <w:r>
        <w:rPr>
          <w:rFonts w:ascii="Arial" w:cs="Arial" w:eastAsia="Arial" w:hAnsi="Arial"/>
        </w:rPr>
        <w:t xml:space="preserve">El endpoint /api/v1/signals/samples es consistente con la API publica de Stage 13.</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7.2 Elementos que el Stage 16 detallado AGREGA (positivo)</w:t>
      </w:r>
    </w:p>
    <w:p>
      <w:pPr>
        <w:pStyle w:val="ListParagraph"/>
        <w:numPr>
          <w:ilvl w:val="0"/>
          <w:numId w:val="2"/>
        </w:numPr>
        <w:spacing w:after="80"/>
      </w:pPr>
      <w:r>
        <w:rPr>
          <w:rFonts w:ascii="Arial" w:cs="Arial" w:eastAsia="Arial" w:hAnsi="Arial"/>
        </w:rPr>
        <w:t xml:space="preserve">JSON Schema formal v2.0 para Handover Package (no estaba en el plan maestro).</w:t>
      </w:r>
    </w:p>
    <w:p>
      <w:pPr>
        <w:pStyle w:val="ListParagraph"/>
        <w:numPr>
          <w:ilvl w:val="0"/>
          <w:numId w:val="2"/>
        </w:numPr>
        <w:spacing w:after="80"/>
      </w:pPr>
      <w:r>
        <w:rPr>
          <w:rFonts w:ascii="Arial" w:cs="Arial" w:eastAsia="Arial" w:hAnsi="Arial"/>
        </w:rPr>
        <w:t xml:space="preserve">OPC-UA / PI Adapter como Docker container para deploy en planta (excelente adicion).</w:t>
      </w:r>
    </w:p>
    <w:p>
      <w:pPr>
        <w:pStyle w:val="ListParagraph"/>
        <w:numPr>
          <w:ilvl w:val="0"/>
          <w:numId w:val="2"/>
        </w:numPr>
        <w:spacing w:after="80"/>
      </w:pPr>
      <w:r>
        <w:rPr>
          <w:rFonts w:ascii="Arial" w:cs="Arial" w:eastAsia="Arial" w:hAnsi="Arial"/>
        </w:rPr>
        <w:t xml:space="preserve">State machine detallada para punch post-handover con 7 estados (el plan solo decia "se mantienen vivos").</w:t>
      </w:r>
    </w:p>
    <w:p>
      <w:pPr>
        <w:pStyle w:val="ListParagraph"/>
        <w:numPr>
          <w:ilvl w:val="0"/>
          <w:numId w:val="2"/>
        </w:numPr>
        <w:spacing w:after="80"/>
      </w:pPr>
      <w:r>
        <w:rPr>
          <w:rFonts w:ascii="Arial" w:cs="Arial" w:eastAsia="Arial" w:hAnsi="Arial"/>
        </w:rPr>
        <w:t xml:space="preserve">Continuous aggregates (signal_values_1min) para dashboards — optimizacion necesaria no mencionada en plan.</w:t>
      </w:r>
    </w:p>
    <w:p>
      <w:pPr>
        <w:pStyle w:val="ListParagraph"/>
        <w:numPr>
          <w:ilvl w:val="0"/>
          <w:numId w:val="2"/>
        </w:numPr>
        <w:spacing w:after="80"/>
      </w:pPr>
      <w:r>
        <w:rPr>
          <w:rFonts w:ascii="Arial" w:cs="Arial" w:eastAsia="Arial" w:hAnsi="Arial"/>
        </w:rPr>
        <w:t xml:space="preserve">Performance targets concretos: 10K samples/seg, P99 &lt;200ms, retencion 90 dias.</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7.3 Inconsistencias detectadas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000"/>
        <w:gridCol w:w="27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Severidad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Hallazgo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Recomendacion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C-01</w:t>
            </w:r>
          </w:p>
        </w:tc>
        <w:tc>
          <w:tcPr>
            <w:tcW w:type="dxa" w:w="10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ALTA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Stage 16 detallado estima 15 semanas (9 sprints). El plan maestro dice 8 semanas. Diferencia de casi el doble. Si se mantiene la estimacion del plan, el Stage 16 se entrega incompleto.</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Actualizar el plan maestro a 12-15 semanas para Stage 16. O reducir alcance: eliminar conector Maximo del MVP (hacer solo SAP PM) y diferir PI Adapter a Stage 16.5.</w:t>
            </w:r>
          </w:p>
        </w:tc>
      </w:tr>
      <w:tr>
        <w:tc>
          <w:tcPr>
            <w:tcW w:type="dxa" w:w="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C-02</w:t>
            </w:r>
          </w:p>
        </w:tc>
        <w:tc>
          <w:tcPr>
            <w:tcW w:type="dxa" w:w="10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806000"/>
                <w:sz w:val="20"/>
                <w:szCs w:val="20"/>
              </w:rPr>
              <w:t xml:space="preserve">MEDIA</w:t>
            </w:r>
          </w:p>
        </w:tc>
        <w:tc>
          <w:tcPr>
            <w:tcW w:type="dxa" w:w="40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Stage 16 detallado usa nomenclatura NestJS (Injectable, decorators) mientras el stack real es Next.js. Esto puede confundir al equipo de desarrollo.</w:t>
            </w:r>
          </w:p>
        </w:tc>
        <w:tc>
          <w:tcPr>
            <w:tcW w:type="dxa" w:w="27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codigo es pseudocodigo. Agregar nota: "Pseudocodigo ilustrativo. Implementar como Next.js API Routes + server-side services."</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C-03</w:t>
            </w:r>
          </w:p>
        </w:tc>
        <w:tc>
          <w:tcPr>
            <w:tcW w:type="dxa" w:w="10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BAJA</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Stage 16 detallado define tabla workflow_rules (para auto-commissioning). El plan maestro define la misma tabla en Stage 11. Asegurar que Stage 16 REUSA la tabla de Stage 11 y no crea una nueva.</w:t>
            </w:r>
          </w:p>
        </w:tc>
        <w:tc>
          <w:tcPr>
            <w:tcW w:type="dxa" w:w="2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Agregar referencia explicita: "Stage 16.4 usa workflow_rules definida en Stage 11."</w:t>
            </w:r>
          </w:p>
        </w:tc>
      </w:tr>
    </w:tbl>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8. Recomendaciones Priorizadas — Plan de Accion</w:t>
      </w:r>
    </w:p>
    <w:p>
      <w:pPr>
        <w:pStyle w:val="Heading2"/>
        <w:spacing w:after="160" w:before="300"/>
      </w:pPr>
      <w:r>
        <w:rPr>
          <w:rFonts w:ascii="Arial" w:cs="Arial" w:eastAsia="Arial" w:hAnsi="Arial"/>
          <w:b/>
          <w:bCs/>
          <w:color w:val="2E75B6"/>
          <w:sz w:val="26"/>
          <w:szCs w:val="26"/>
        </w:rPr>
        <w:t xml:space="preserve">8.1 Acciones Inmediatas (antes de continuar desarrollo)</w:t>
      </w:r>
    </w:p>
    <w:p>
      <w:pPr>
        <w:pStyle w:val="ListParagraph"/>
        <w:numPr>
          <w:ilvl w:val="0"/>
          <w:numId w:val="3"/>
        </w:numPr>
        <w:spacing w:after="80"/>
      </w:pPr>
      <w:r>
        <w:rPr>
          <w:rFonts w:ascii="Arial" w:cs="Arial" w:eastAsia="Arial" w:hAnsi="Arial"/>
        </w:rPr>
        <w:t xml:space="preserve">COMPLETAR RLS en todas las tablas (S-01). No negociable. 3-4 semanas dedicadas.</w:t>
      </w:r>
    </w:p>
    <w:p>
      <w:pPr>
        <w:pStyle w:val="ListParagraph"/>
        <w:numPr>
          <w:ilvl w:val="0"/>
          <w:numId w:val="3"/>
        </w:numPr>
        <w:spacing w:after="80"/>
      </w:pPr>
      <w:r>
        <w:rPr>
          <w:rFonts w:ascii="Arial" w:cs="Arial" w:eastAsia="Arial" w:hAnsi="Arial"/>
        </w:rPr>
        <w:t xml:space="preserve">DEFINIR modelo de seguridad de API keys con cifrado + rotacion (S-02). 1 semana de design.</w:t>
      </w:r>
    </w:p>
    <w:p>
      <w:pPr>
        <w:pStyle w:val="ListParagraph"/>
        <w:numPr>
          <w:ilvl w:val="0"/>
          <w:numId w:val="3"/>
        </w:numPr>
        <w:spacing w:after="80"/>
      </w:pPr>
      <w:r>
        <w:rPr>
          <w:rFonts w:ascii="Arial" w:cs="Arial" w:eastAsia="Arial" w:hAnsi="Arial"/>
        </w:rPr>
        <w:t xml:space="preserve">CIFRAR tokens de integraciones (S-03). Migration + encrypt existing tokens. 1 semana.</w:t>
      </w:r>
    </w:p>
    <w:p>
      <w:pPr>
        <w:pStyle w:val="ListParagraph"/>
        <w:numPr>
          <w:ilvl w:val="0"/>
          <w:numId w:val="3"/>
        </w:numPr>
        <w:spacing w:after="80"/>
      </w:pPr>
      <w:r>
        <w:rPr>
          <w:rFonts w:ascii="Arial" w:cs="Arial" w:eastAsia="Arial" w:hAnsi="Arial"/>
        </w:rPr>
        <w:t xml:space="preserve">DEFINIR testing strategy transversal (G-01). Framework + coverage targets. 2 dias.</w:t>
      </w:r>
    </w:p>
    <w:p>
      <w:pPr>
        <w:pStyle w:val="ListParagraph"/>
        <w:numPr>
          <w:ilvl w:val="0"/>
          <w:numId w:val="3"/>
        </w:numPr>
        <w:spacing w:after="80"/>
      </w:pPr>
      <w:r>
        <w:rPr>
          <w:rFonts w:ascii="Arial" w:cs="Arial" w:eastAsia="Arial" w:hAnsi="Arial"/>
        </w:rPr>
        <w:t xml:space="preserve">DOCUMENTAR DR/backup strategy (G-02). Supabase PITR + pg_dump adicional. 1 dia.</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8.2 Acciones a Corto Plazo (durante Stages 10-11)</w:t>
      </w:r>
    </w:p>
    <w:p>
      <w:pPr>
        <w:pStyle w:val="ListParagraph"/>
        <w:numPr>
          <w:ilvl w:val="0"/>
          <w:numId w:val="3"/>
        </w:numPr>
        <w:spacing w:after="80"/>
      </w:pPr>
      <w:r>
        <w:rPr>
          <w:rFonts w:ascii="Arial" w:cs="Arial" w:eastAsia="Arial" w:hAnsi="Arial"/>
        </w:rPr>
        <w:t xml:space="preserve">UNIFICAR motor de reglas: JsonLogic base + CommUP Signal Extensions (A-01 + A-02).</w:t>
      </w:r>
    </w:p>
    <w:p>
      <w:pPr>
        <w:pStyle w:val="ListParagraph"/>
        <w:numPr>
          <w:ilvl w:val="0"/>
          <w:numId w:val="3"/>
        </w:numPr>
        <w:spacing w:after="80"/>
      </w:pPr>
      <w:r>
        <w:rPr>
          <w:rFonts w:ascii="Arial" w:cs="Arial" w:eastAsia="Arial" w:hAnsi="Arial"/>
        </w:rPr>
        <w:t xml:space="preserve">IMPLEMENTAR rate limiter global en Cloudflare Workers KV (G-06).</w:t>
      </w:r>
    </w:p>
    <w:p>
      <w:pPr>
        <w:pStyle w:val="ListParagraph"/>
        <w:numPr>
          <w:ilvl w:val="0"/>
          <w:numId w:val="3"/>
        </w:numPr>
        <w:spacing w:after="80"/>
      </w:pPr>
      <w:r>
        <w:rPr>
          <w:rFonts w:ascii="Arial" w:cs="Arial" w:eastAsia="Arial" w:hAnsi="Arial"/>
        </w:rPr>
        <w:t xml:space="preserve">CONFIGURAR Sentry + health endpoints (G-03).</w:t>
      </w:r>
    </w:p>
    <w:p>
      <w:pPr>
        <w:pStyle w:val="ListParagraph"/>
        <w:numPr>
          <w:ilvl w:val="0"/>
          <w:numId w:val="3"/>
        </w:numPr>
        <w:spacing w:after="80"/>
      </w:pPr>
      <w:r>
        <w:rPr>
          <w:rFonts w:ascii="Arial" w:cs="Arial" w:eastAsia="Arial" w:hAnsi="Arial"/>
        </w:rPr>
        <w:t xml:space="preserve">ASEGURAR HMAC + replay protection en webhooks (S-05).</w:t>
      </w:r>
    </w:p>
    <w:p>
      <w:pPr>
        <w:pStyle w:val="ListParagraph"/>
        <w:numPr>
          <w:ilvl w:val="0"/>
          <w:numId w:val="3"/>
        </w:numPr>
        <w:spacing w:after="80"/>
      </w:pPr>
      <w:r>
        <w:rPr>
          <w:rFonts w:ascii="Arial" w:cs="Arial" w:eastAsia="Arial" w:hAnsi="Arial"/>
        </w:rPr>
        <w:t xml:space="preserve">ACTUALIZAR estimaciones del plan maestro: Stage 10 a 7-9 sem, Stage 16 a 12-15 sem (R-01, C-01).</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8.3 Acciones a Mediano Plazo (durante Stages 12-14)</w:t>
      </w:r>
    </w:p>
    <w:p>
      <w:pPr>
        <w:pStyle w:val="ListParagraph"/>
        <w:numPr>
          <w:ilvl w:val="0"/>
          <w:numId w:val="3"/>
        </w:numPr>
        <w:spacing w:after="80"/>
      </w:pPr>
      <w:r>
        <w:rPr>
          <w:rFonts w:ascii="Arial" w:cs="Arial" w:eastAsia="Arial" w:hAnsi="Arial"/>
        </w:rPr>
        <w:t xml:space="preserve">IMPLEMENTAR i18n framework desde Stage 12 (G-07).</w:t>
      </w:r>
    </w:p>
    <w:p>
      <w:pPr>
        <w:pStyle w:val="ListParagraph"/>
        <w:numPr>
          <w:ilvl w:val="0"/>
          <w:numId w:val="3"/>
        </w:numPr>
        <w:spacing w:after="80"/>
      </w:pPr>
      <w:r>
        <w:rPr>
          <w:rFonts w:ascii="Arial" w:cs="Arial" w:eastAsia="Arial" w:hAnsi="Arial"/>
        </w:rPr>
        <w:t xml:space="preserve">AGREGAR endpoints de import bulk al Stage 13 (G-05).</w:t>
      </w:r>
    </w:p>
    <w:p>
      <w:pPr>
        <w:pStyle w:val="ListParagraph"/>
        <w:numPr>
          <w:ilvl w:val="0"/>
          <w:numId w:val="3"/>
        </w:numPr>
        <w:spacing w:after="80"/>
      </w:pPr>
      <w:r>
        <w:rPr>
          <w:rFonts w:ascii="Arial" w:cs="Arial" w:eastAsia="Arial" w:hAnsi="Arial"/>
        </w:rPr>
        <w:t xml:space="preserve">DOCUMENTAR compliance ISO 19650 / IEC 62264 / ISO 55000 (G-04).</w:t>
      </w:r>
    </w:p>
    <w:p>
      <w:pPr>
        <w:pStyle w:val="ListParagraph"/>
        <w:numPr>
          <w:ilvl w:val="0"/>
          <w:numId w:val="3"/>
        </w:numPr>
        <w:spacing w:after="80"/>
      </w:pPr>
      <w:r>
        <w:rPr>
          <w:rFonts w:ascii="Arial" w:cs="Arial" w:eastAsia="Arial" w:hAnsi="Arial"/>
        </w:rPr>
        <w:t xml:space="preserve">IMPLEMENTAR feature flags via Workers KV + tabla feature_flags (G-08).</w:t>
      </w:r>
    </w:p>
    <w:p>
      <w:pPr>
        <w:pStyle w:val="ListParagraph"/>
        <w:numPr>
          <w:ilvl w:val="0"/>
          <w:numId w:val="3"/>
        </w:numPr>
        <w:spacing w:after="80"/>
      </w:pPr>
      <w:r>
        <w:rPr>
          <w:rFonts w:ascii="Arial" w:cs="Arial" w:eastAsia="Arial" w:hAnsi="Arial"/>
        </w:rPr>
        <w:t xml:space="preserve">AGREGAR IP whitelist + HMAC en signal ingestion endpoint (S-04).</w:t>
      </w:r>
    </w:p>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9. Oportunidades de Optimizacion Tecnica</w:t>
      </w:r>
    </w:p>
    <w:p>
      <w:pPr>
        <w:pStyle w:val="Heading2"/>
        <w:spacing w:after="160" w:before="300"/>
      </w:pPr>
      <w:r>
        <w:rPr>
          <w:rFonts w:ascii="Arial" w:cs="Arial" w:eastAsia="Arial" w:hAnsi="Arial"/>
          <w:b/>
          <w:bCs/>
          <w:color w:val="2E75B6"/>
          <w:sz w:val="26"/>
          <w:szCs w:val="26"/>
        </w:rPr>
        <w:t xml:space="preserve">9.1 Base de Datos</w:t>
      </w:r>
    </w:p>
    <w:p>
      <w:pPr>
        <w:pStyle w:val="ListParagraph"/>
        <w:numPr>
          <w:ilvl w:val="0"/>
          <w:numId w:val="2"/>
        </w:numPr>
        <w:spacing w:after="80"/>
      </w:pPr>
      <w:r>
        <w:rPr>
          <w:rFonts w:ascii="Arial" w:cs="Arial" w:eastAsia="Arial" w:hAnsi="Arial"/>
        </w:rPr>
        <w:t xml:space="preserve">compute_system_readiness(): implementar como SECURITY DEFINER function con search_path fijo para evitar search_path injection. Cachear resultado en tabla materialized con invalidacion event-driven.</w:t>
      </w:r>
    </w:p>
    <w:p>
      <w:pPr>
        <w:pStyle w:val="ListParagraph"/>
        <w:numPr>
          <w:ilvl w:val="0"/>
          <w:numId w:val="2"/>
        </w:numPr>
        <w:spacing w:after="80"/>
      </w:pPr>
      <w:r>
        <w:rPr>
          <w:rFonts w:ascii="Arial" w:cs="Arial" w:eastAsia="Arial" w:hAnsi="Arial"/>
        </w:rPr>
        <w:t xml:space="preserve">domain_events: particionar por project_id (hash) + occurred_at (range). A 100 eventos/dia/proyecto, en 1 ano = 36.5K registros/proyecto. Sin partitioning es manejable; con 100 proyectos ya no.</w:t>
      </w:r>
    </w:p>
    <w:p>
      <w:pPr>
        <w:pStyle w:val="ListParagraph"/>
        <w:numPr>
          <w:ilvl w:val="0"/>
          <w:numId w:val="2"/>
        </w:numPr>
        <w:spacing w:after="80"/>
      </w:pPr>
      <w:r>
        <w:rPr>
          <w:rFonts w:ascii="Arial" w:cs="Arial" w:eastAsia="Arial" w:hAnsi="Arial"/>
        </w:rPr>
        <w:t xml:space="preserve">signal_values: el chunk_time_interval de 1 dia es optimo para ingesta de hasta 50K signals. Si escala a &gt;100K, evaluar 6h chunks.</w:t>
      </w:r>
    </w:p>
    <w:p>
      <w:pPr>
        <w:pStyle w:val="ListParagraph"/>
        <w:numPr>
          <w:ilvl w:val="0"/>
          <w:numId w:val="2"/>
        </w:numPr>
        <w:spacing w:after="80"/>
      </w:pPr>
      <w:r>
        <w:rPr>
          <w:rFonts w:ascii="Arial" w:cs="Arial" w:eastAsia="Arial" w:hAnsi="Arial"/>
        </w:rPr>
        <w:t xml:space="preserve">Indices: agregar indice parcial en punch_items WHERE category = A AND status = OPEN para readiness engine (hot path).</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9.2 Performance</w:t>
      </w:r>
    </w:p>
    <w:p>
      <w:pPr>
        <w:pStyle w:val="ListParagraph"/>
        <w:numPr>
          <w:ilvl w:val="0"/>
          <w:numId w:val="2"/>
        </w:numPr>
        <w:spacing w:after="80"/>
      </w:pPr>
      <w:r>
        <w:rPr>
          <w:rFonts w:ascii="Arial" w:cs="Arial" w:eastAsia="Arial" w:hAnsi="Arial"/>
        </w:rPr>
        <w:t xml:space="preserve">Tag 360 view: NO usar materialized view si requiere REFRESH. Usar funcion que hace los JOINs bajo demanda con cache en Cloudflare KV (TTL 30s). Refresh asincrono via domain_events.</w:t>
      </w:r>
    </w:p>
    <w:p>
      <w:pPr>
        <w:pStyle w:val="ListParagraph"/>
        <w:numPr>
          <w:ilvl w:val="0"/>
          <w:numId w:val="2"/>
        </w:numPr>
        <w:spacing w:after="80"/>
      </w:pPr>
      <w:r>
        <w:rPr>
          <w:rFonts w:ascii="Arial" w:cs="Arial" w:eastAsia="Arial" w:hAnsi="Arial"/>
        </w:rPr>
        <w:t xml:space="preserve">Signal ingestion: usar COPY protocol (binary) en vez de INSERT para batches &gt;1000 samples. Supabase soporta COPY via pg library directa.</w:t>
      </w:r>
    </w:p>
    <w:p>
      <w:pPr>
        <w:pStyle w:val="ListParagraph"/>
        <w:numPr>
          <w:ilvl w:val="0"/>
          <w:numId w:val="2"/>
        </w:numPr>
        <w:spacing w:after="80"/>
      </w:pPr>
      <w:r>
        <w:rPr>
          <w:rFonts w:ascii="Arial" w:cs="Arial" w:eastAsia="Arial" w:hAnsi="Arial"/>
        </w:rPr>
        <w:t xml:space="preserve">Handover export: generacion PDF pesada. Mover a Supabase Edge Function (Deno) con pdfmake en vez de Workers (sin filesystem).</w:t>
      </w:r>
    </w:p>
    <w:p>
      <w:pPr>
        <w:pStyle w:val="ListParagraph"/>
        <w:numPr>
          <w:ilvl w:val="0"/>
          <w:numId w:val="2"/>
        </w:numPr>
        <w:spacing w:after="80"/>
      </w:pPr>
      <w:r>
        <w:rPr>
          <w:rFonts w:ascii="Arial" w:cs="Arial" w:eastAsia="Arial" w:hAnsi="Arial"/>
        </w:rPr>
        <w:t xml:space="preserve">PWA offline: pre-cachear tag_360 de los tags asignados al inspector via Background Sync API. No esperar a que el usuario los abra.</w:t>
      </w:r>
    </w:p>
    <w:p>
      <w:pPr>
        <w:spacing w:after="80"/>
      </w:pPr>
      <w:r>
        <w:rPr>
          <w:rFonts w:ascii="Arial" w:cs="Arial" w:eastAsia="Arial" w:hAnsi="Arial"/>
        </w:rPr>
        <w:t xml:space="preserve"/>
      </w:r>
    </w:p>
    <w:p>
      <w:pPr>
        <w:pStyle w:val="Heading2"/>
        <w:spacing w:after="160" w:before="300"/>
      </w:pPr>
      <w:r>
        <w:rPr>
          <w:rFonts w:ascii="Arial" w:cs="Arial" w:eastAsia="Arial" w:hAnsi="Arial"/>
          <w:b/>
          <w:bCs/>
          <w:color w:val="2E75B6"/>
          <w:sz w:val="26"/>
          <w:szCs w:val="26"/>
        </w:rPr>
        <w:t xml:space="preserve">9.3 Developer Experience</w:t>
      </w:r>
    </w:p>
    <w:p>
      <w:pPr>
        <w:pStyle w:val="ListParagraph"/>
        <w:numPr>
          <w:ilvl w:val="0"/>
          <w:numId w:val="2"/>
        </w:numPr>
        <w:spacing w:after="80"/>
      </w:pPr>
      <w:r>
        <w:rPr>
          <w:rFonts w:ascii="Arial" w:cs="Arial" w:eastAsia="Arial" w:hAnsi="Arial"/>
        </w:rPr>
        <w:t xml:space="preserve">Generar OpenAPI spec desde Zod schemas (ya usados en Next.js) con zod-to-openapi. Un solo source of truth para types + validation + docs.</w:t>
      </w:r>
    </w:p>
    <w:p>
      <w:pPr>
        <w:pStyle w:val="ListParagraph"/>
        <w:numPr>
          <w:ilvl w:val="0"/>
          <w:numId w:val="2"/>
        </w:numPr>
        <w:spacing w:after="80"/>
      </w:pPr>
      <w:r>
        <w:rPr>
          <w:rFonts w:ascii="Arial" w:cs="Arial" w:eastAsia="Arial" w:hAnsi="Arial"/>
        </w:rPr>
        <w:t xml:space="preserve">Monorepo: si se agregan adapters Docker (PI adapter, OPC-UA adapter), considerar turborepo o nx para build unificado.</w:t>
      </w:r>
    </w:p>
    <w:p>
      <w:pPr>
        <w:pStyle w:val="ListParagraph"/>
        <w:numPr>
          <w:ilvl w:val="0"/>
          <w:numId w:val="2"/>
        </w:numPr>
        <w:spacing w:after="80"/>
      </w:pPr>
      <w:r>
        <w:rPr>
          <w:rFonts w:ascii="Arial" w:cs="Arial" w:eastAsia="Arial" w:hAnsi="Arial"/>
        </w:rPr>
        <w:t xml:space="preserve">Database migrations: migrar de supabase-schema.sql monolitico a migraciones incrementales numeradas (001_rls_complete.sql, 002_domain_events.sql, etc.).</w:t>
      </w:r>
    </w:p>
    <w:p>
      <w:pPr>
        <w:spacing w:after="200"/>
      </w:pPr>
      <w:r>
        <w:rPr>
          <w:rFonts w:ascii="Arial" w:cs="Arial" w:eastAsia="Arial" w:hAnsi="Arial"/>
        </w:rPr>
        <w:t xml:space="preserve"/>
      </w:r>
    </w:p>
    <w:p>
      <w:r>
        <w:br w:type="page"/>
      </w:r>
    </w:p>
    <w:p>
      <w:pPr>
        <w:pStyle w:val="Heading1"/>
        <w:pBdr>
          <w:bottom w:val="single" w:color="00B0F0" w:sz="8" w:space="4"/>
        </w:pBdr>
        <w:spacing w:after="200" w:before="400"/>
      </w:pPr>
      <w:r>
        <w:rPr>
          <w:rFonts w:ascii="Arial" w:cs="Arial" w:eastAsia="Arial" w:hAnsi="Arial"/>
          <w:b/>
          <w:bCs/>
          <w:color w:val="1F4E79"/>
          <w:sz w:val="32"/>
          <w:szCs w:val="32"/>
        </w:rPr>
        <w:t xml:space="preserve">10. Conclusiones</w:t>
      </w:r>
    </w:p>
    <w:p>
      <w:pPr>
        <w:spacing w:after="120"/>
      </w:pPr>
      <w:r>
        <w:rPr>
          <w:rFonts w:ascii="Arial" w:cs="Arial" w:eastAsia="Arial" w:hAnsi="Arial"/>
        </w:rPr>
        <w:t xml:space="preserve">El Plan Estrategico de CommUP es </w:t>
      </w:r>
      <w:r>
        <w:rPr>
          <w:rFonts w:ascii="Arial" w:cs="Arial" w:eastAsia="Arial" w:hAnsi="Arial"/>
          <w:b/>
          <w:bCs/>
        </w:rPr>
        <w:t xml:space="preserve">arquitectonicamente ambicioso y tecnicament fundamentado</w:t>
      </w:r>
      <w:r>
        <w:rPr>
          <w:rFonts w:ascii="Arial" w:cs="Arial" w:eastAsia="Arial" w:hAnsi="Arial"/>
        </w:rPr>
        <w:t xml:space="preserve">. Las decisiones de stack son maduras y las prioridades (RLS primero, Events segundo, Workflow tercero) son correctas. El Stage 16 detallado es un excelente ejemplo de como desglosar un stage en implementacion concreta.</w:t>
      </w:r>
    </w:p>
    <w:p>
      <w:pPr>
        <w:spacing w:after="80"/>
      </w:pPr>
      <w:r>
        <w:rPr>
          <w:rFonts w:ascii="Arial" w:cs="Arial" w:eastAsia="Arial" w:hAnsi="Arial"/>
        </w:rPr>
        <w:t xml:space="preserve"/>
      </w:r>
    </w:p>
    <w:p>
      <w:pPr>
        <w:spacing w:after="120"/>
      </w:pPr>
      <w:r>
        <w:rPr>
          <w:rFonts w:ascii="Arial" w:cs="Arial" w:eastAsia="Arial" w:hAnsi="Arial"/>
        </w:rPr>
        <w:t xml:space="preserve">Sin embargo, el plan tiene una </w:t>
      </w:r>
      <w:r>
        <w:rPr>
          <w:rFonts w:ascii="Arial" w:cs="Arial" w:eastAsia="Arial" w:hAnsi="Arial"/>
          <w:b/>
          <w:bCs/>
        </w:rPr>
        <w:t xml:space="preserve">brecha sistematica</w:t>
      </w:r>
      <w:r>
        <w:rPr>
          <w:rFonts w:ascii="Arial" w:cs="Arial" w:eastAsia="Arial" w:hAnsi="Arial"/>
        </w:rPr>
        <w:t xml:space="preserve">: se enfoca en features de producto pero subestima los aspectos operacionales (seguridad, testing, observability, DR, compliance) que son </w:t>
      </w:r>
      <w:r>
        <w:rPr>
          <w:rFonts w:ascii="Arial" w:cs="Arial" w:eastAsia="Arial" w:hAnsi="Arial"/>
          <w:b/>
          <w:bCs/>
        </w:rPr>
        <w:t xml:space="preserve">requisitos no funcionales criticos en Oil &amp; Gas</w:t>
      </w:r>
      <w:r>
        <w:rPr>
          <w:rFonts w:ascii="Arial" w:cs="Arial" w:eastAsia="Arial" w:hAnsi="Arial"/>
        </w:rPr>
        <w:t xml:space="preserve">. Un cliente como PetroAlpha no va a preguntar "tienen auto-commissioning?" antes de preguntar "donde estan los resultados de su pen-test y su plan de DR?".</w:t>
      </w:r>
    </w:p>
    <w:p>
      <w:pPr>
        <w:spacing w:after="80"/>
      </w:pPr>
      <w:r>
        <w:rPr>
          <w:rFonts w:ascii="Arial" w:cs="Arial" w:eastAsia="Arial" w:hAnsi="Arial"/>
        </w:rPr>
        <w:t xml:space="preserve"/>
      </w:r>
    </w:p>
    <w:p>
      <w:pPr>
        <w:spacing w:after="120"/>
      </w:pPr>
      <w:r>
        <w:rPr>
          <w:rFonts w:ascii="Arial" w:cs="Arial" w:eastAsia="Arial" w:hAnsi="Arial"/>
          <w:b/>
          <w:bCs/>
        </w:rPr>
        <w:t xml:space="preserve">La recomendacion final</w:t>
      </w:r>
      <w:r>
        <w:rPr>
          <w:rFonts w:ascii="Arial" w:cs="Arial" w:eastAsia="Arial" w:hAnsi="Arial"/>
        </w:rPr>
        <w:t xml:space="preserve"> es: ejecutar las 5 acciones inmediatas (seccion 8.1) como un </w:t>
      </w:r>
      <w:r>
        <w:rPr>
          <w:rFonts w:ascii="Arial" w:cs="Arial" w:eastAsia="Arial" w:hAnsi="Arial"/>
          <w:b/>
          <w:bCs/>
        </w:rPr>
        <w:t xml:space="preserve">"Stage 9.5 — Security &amp; Ops Foundation"</w:t>
      </w:r>
      <w:r>
        <w:rPr>
          <w:rFonts w:ascii="Arial" w:cs="Arial" w:eastAsia="Arial" w:hAnsi="Arial"/>
        </w:rPr>
        <w:t xml:space="preserve"> de 2-3 semanas ANTES de iniciar Stage 10. Esto blinda el producto para produccion real y establece las bases de testing/monitoring que benefician a todos los stages subsiguientes.</w:t>
      </w:r>
    </w:p>
    <w:p>
      <w:pPr>
        <w:spacing w:after="80"/>
      </w:pPr>
      <w:r>
        <w:rPr>
          <w:rFonts w:ascii="Arial" w:cs="Arial" w:eastAsia="Arial" w:hAnsi="Arial"/>
        </w:rPr>
        <w:t xml:space="preserve"/>
      </w:r>
    </w:p>
    <w:p>
      <w:pPr>
        <w:spacing w:after="120"/>
      </w:pPr>
      <w:r>
        <w:rPr>
          <w:rFonts w:ascii="Arial" w:cs="Arial" w:eastAsia="Arial" w:hAnsi="Arial"/>
        </w:rPr>
        <w:t xml:space="preserve">Con estos ajustes, CommUP tiene la arquitectura correcta para evolucionar de CCMS funcional a </w:t>
      </w:r>
      <w:r>
        <w:rPr>
          <w:rFonts w:ascii="Arial" w:cs="Arial" w:eastAsia="Arial" w:hAnsi="Arial"/>
          <w:b/>
          <w:bCs/>
        </w:rPr>
        <w:t xml:space="preserve">Execution Digital Backbone</w:t>
      </w:r>
      <w:r>
        <w:rPr>
          <w:rFonts w:ascii="Arial" w:cs="Arial" w:eastAsia="Arial" w:hAnsi="Arial"/>
        </w:rPr>
        <w:t xml:space="preserve"> — y competir no solo con ICAPS/WinPCS sino con SmartPlant y AVEVA en el segmento de proyectos grandes.</w:t>
      </w:r>
    </w:p>
    <w:p>
      <w:pPr>
        <w:spacing w:after="200"/>
      </w:pPr>
      <w:r>
        <w:rPr>
          <w:rFonts w:ascii="Arial" w:cs="Arial" w:eastAsia="Arial" w:hAnsi="Arial"/>
        </w:rPr>
        <w:t xml:space="preserve"/>
      </w:r>
    </w:p>
    <w:p>
      <w:pPr>
        <w:pBdr>
          <w:top w:val="single" w:color="C00000" w:sz="6" w:space="6"/>
        </w:pBdr>
        <w:jc w:val="center"/>
      </w:pPr>
      <w:r>
        <w:rPr>
          <w:rFonts w:ascii="Arial" w:cs="Arial" w:eastAsia="Arial" w:hAnsi="Arial"/>
          <w:i/>
          <w:iCs/>
          <w:color w:val="7F7F7F"/>
          <w:sz w:val="18"/>
          <w:szCs w:val="18"/>
        </w:rPr>
        <w:t xml:space="preserve">CommUP Auditoria 2026  |  Execution Digital Backbone  |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4" w:space="4"/>
      </w:pBdr>
      <w:jc w:val="right"/>
    </w:pPr>
    <w:r>
      <w:rPr>
        <w:rFonts w:ascii="Arial" w:cs="Arial" w:eastAsia="Arial" w:hAnsi="Arial"/>
        <w:color w:val="7F7F7F"/>
        <w:sz w:val="16"/>
        <w:szCs w:val="16"/>
      </w:rPr>
      <w:t xml:space="preserve">CommUP Audit 2026</w:t>
    </w:r>
    <w:r>
      <w:rPr>
        <w:rFonts w:ascii="Arial" w:cs="Arial" w:eastAsia="Arial" w:hAnsi="Arial"/>
        <w:color w:val="7F7F7F"/>
        <w:sz w:val="16"/>
        <w:szCs w:val="16"/>
      </w:rPr>
      <w:t xml:space="preserve">    Pagina </w:t>
    </w:r>
    <w:r>
      <w:rPr>
        <w:color w:val="2E75B6"/>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 </w:t>
    </w:r>
    <w:r>
      <w:rPr>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4"/>
      </w:pBdr>
    </w:pPr>
    <w:r>
      <w:rPr>
        <w:rFonts w:ascii="Arial" w:cs="Arial" w:eastAsia="Arial" w:hAnsi="Arial"/>
        <w:b/>
        <w:bCs/>
        <w:color w:val="C00000"/>
        <w:sz w:val="18"/>
        <w:szCs w:val="18"/>
      </w:rPr>
      <w:t xml:space="preserve">CommUP Auditoria Integral — Plan Estrategico</w:t>
    </w:r>
    <w:r>
      <w:rPr>
        <w:rFonts w:ascii="Arial" w:cs="Arial" w:eastAsia="Arial" w:hAnsi="Arial"/>
        <w:color w:val="7F7F7F"/>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CommUP — Auditoria Integral del Plan Estrategico</dc:title>
  <dc:creator>CommUP Architecture Board</dc:creator>
  <cp:lastModifiedBy>Un-named</cp:lastModifiedBy>
  <cp:revision>1</cp:revision>
  <dcterms:created xsi:type="dcterms:W3CDTF">2026-04-16T02:23:33.004Z</dcterms:created>
  <dcterms:modified xsi:type="dcterms:W3CDTF">2026-04-16T02:23:33.004Z</dcterms:modified>
</cp:coreProperties>
</file>

<file path=docProps/custom.xml><?xml version="1.0" encoding="utf-8"?>
<Properties xmlns="http://schemas.openxmlformats.org/officeDocument/2006/custom-properties" xmlns:vt="http://schemas.openxmlformats.org/officeDocument/2006/docPropsVTypes"/>
</file>