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>MAESTRÍA EN ASESORÍA Y GERENCIA LEGAL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3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12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144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144</w:t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0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0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>• MAGL0001-RDA1 Utiliza marcos conceptuales y herramientas de análisis con el objetivo de desarrollar un plan estratégico para una organización.</w:t>
        <w:br/>
        <w:t xml:space="preserve">• MAGL0001-RDA2 Diseña estrategias empresariales innovadoras que se alinean eficazmente con el entorno empresarial.</w:t>
        <w:br/>
        <w:t xml:space="preserve">• MAGL0001-RDA3 Evalúa el éxito de las estrategias implementadas, mediante el uso de métricas de rendimiento y técnicas de evaluación, para proponer mejoras continuas.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28"/>
        <w:gridCol w:w="1134"/>
        <w:gridCol w:w="992"/>
        <w:gridCol w:w="992"/>
        <w:gridCol w:w="992"/>
        <w:gridCol w:w="1418"/>
        <w:gridCol w:w="1417"/>
        <w:gridCol w:w="1418"/>
        <w:gridCol w:w="1417"/>
        <w:gridCol w:w="2127"/>
        <w:gridCol w:w="850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