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77FB9" w14:textId="77777777" w:rsidR="005D0FCB" w:rsidRDefault="00534DFD">
      <w:pPr>
        <w:jc w:val="center"/>
      </w:pPr>
      <w:r>
        <w:rPr>
          <w:b/>
          <w:sz w:val="28"/>
        </w:rPr>
        <w:t>Maestría en Asesoría y Gerencia Legal de Empresas</w:t>
      </w:r>
    </w:p>
    <w:p w14:paraId="4D9BE207" w14:textId="77777777" w:rsidR="005D0FCB" w:rsidRDefault="00534DFD">
      <w:pPr>
        <w:jc w:val="center"/>
      </w:pPr>
      <w:r>
        <w:rPr>
          <w:b/>
          <w:sz w:val="24"/>
        </w:rPr>
        <w:t>Gestión De Riesgos Corporativos</w:t>
      </w:r>
    </w:p>
    <w:p w14:paraId="703B1044" w14:textId="77777777" w:rsidR="005D0FCB" w:rsidRDefault="00534DFD">
      <w:pPr>
        <w:spacing w:before="160" w:after="80"/>
      </w:pPr>
      <w:r>
        <w:rPr>
          <w:b/>
          <w:sz w:val="22"/>
        </w:rPr>
        <w:t>Identificación</w:t>
      </w:r>
    </w:p>
    <w:p w14:paraId="24EBE5DC" w14:textId="77777777" w:rsidR="005D0FCB" w:rsidRDefault="00534DFD">
      <w:r>
        <w:t>Número de créditos: 3</w:t>
      </w:r>
    </w:p>
    <w:p w14:paraId="08DDE4CB" w14:textId="77777777" w:rsidR="005D0FCB" w:rsidRDefault="00534DFD">
      <w:r>
        <w:t>Número de sesiones sincrónicas: 12</w:t>
      </w:r>
    </w:p>
    <w:p w14:paraId="439EF83E" w14:textId="77777777" w:rsidR="005D0FCB" w:rsidRDefault="00534DFD">
      <w:r>
        <w:t>Número total de horas de aprendizaje: 144</w:t>
      </w:r>
    </w:p>
    <w:p w14:paraId="44A63AB7" w14:textId="77777777" w:rsidR="005D0FCB" w:rsidRDefault="00534DFD">
      <w:r>
        <w:t>0 horas de aprendizaje en contacto con el docente</w:t>
      </w:r>
      <w:r/>
    </w:p>
    <w:p w14:paraId="3827504E" w14:textId="77777777" w:rsidR="005D0FCB" w:rsidRDefault="00534DFD">
      <w:r>
        <w:t>53 horas de aprendizaje práctico/experimental</w:t>
      </w:r>
    </w:p>
    <w:p w14:paraId="5740814C" w14:textId="77777777" w:rsidR="005D0FCB" w:rsidRDefault="00534DFD">
      <w:r>
        <w:t>79 horas de aprendizaje autónomo</w:t>
      </w:r>
    </w:p>
    <w:p w14:paraId="60AD2CF4" w14:textId="77777777" w:rsidR="005D0FCB" w:rsidRDefault="00534DFD">
      <w:pPr>
        <w:spacing w:before="160" w:after="80"/>
      </w:pPr>
      <w:r>
        <w:rPr>
          <w:b/>
          <w:sz w:val="22"/>
        </w:rPr>
        <w:t>Descripción del curso</w:t>
      </w:r>
    </w:p>
    <w:p w14:paraId="6EA27F81" w14:textId="77777777" w:rsidR="005D0FCB" w:rsidRDefault="00534DFD">
      <w:r>
        <w:t>**DESCRIPCIÓN DEL CURSO**</w:t>
        <w:br/>
        <w:br/>
        <w:t>El curso de Gestión de Riesgos Corporativos forma parte de la Maestría en Asesoría y Gerencia Legal de Empresas y tiene como objetivo desarrollar en los estudiantes las habilidades y conocimientos necesarios para identificar, evaluar y gestionar los riesgos legales que enfrentan las empresas. A través de un enfoque práctico y aplicado, los estudiantes aprenderán a aplicar los principios del compliance y la cultura del cumplimiento para reducir el riesgo legal empresarial, evaluar la probabilidad de ocurrencia de riesgos legales y su impacto en la empresa, y diseñar planes integrales de gestión de riesgo legal con el propósito de monitorear, mitigar y mejorar el cumplimiento normativo de la organización.</w:t>
        <w:br/>
        <w:br/>
        <w:t>A lo largo de las 12 sesiones, los estudiantes participarán en actividades formativas, como ejercicios prácticos, foros y check list, que les permitirán aplicar los conocimientos teóricos en situaciones reales. Además, realizarán un análisis de caso y una evaluación de los cambios jurídicos y de mercado a los que están sujetos los negocios, y diseñarán estrategias legales para el desarrollo y la protección de la empresa.</w:t>
        <w:br/>
        <w:br/>
        <w:t>Al finalizar el curso, los estudiantes tendrán una comprensión profunda de la gestión de riesgos corporativos y serán capaces de aplicar sus conocimientos en un entorno empresarial.</w:t>
        <w:br/>
        <w:br/>
        <w:t>**ÍNDICE**</w:t>
      </w:r>
    </w:p>
    <w:p w14:paraId="6B026329" w14:textId="77777777" w:rsidR="005D0FCB" w:rsidRDefault="00534DFD">
      <w:pPr>
        <w:spacing w:before="160" w:after="80"/>
      </w:pPr>
      <w:r>
        <w:rPr>
          <w:b/>
          <w:sz w:val="22"/>
        </w:rPr>
        <w:t>Resultados de aprendizaje (RdA) del curso</w:t>
      </w:r>
    </w:p>
    <w:p w14:paraId="55A2F9EE" w14:textId="77777777" w:rsidR="005D0FCB" w:rsidRDefault="00534DFD">
      <w:r>
        <w:t>MAGL0003-RDA1 Aplica los principios del compliance y la cultura del cumplimiento para reducir el riesgo legal empresarial</w:t>
        <w:br/>
        <w:t>MAGL0003-RDA2 Evalúa la probabilidad de ocurrencia de riesgos legales y su impacto en la empresa</w:t>
        <w:br/>
        <w:t>MAGL0003-RDA3 Diseña planes integrales de gestión de riesgo legal con el propósito de monitorear, mitigar y mejorar el cumplimiento normativo de la organización</w:t>
      </w:r>
    </w:p>
    <w:p w14:paraId="685AF7CD" w14:textId="77777777" w:rsidR="005D0FCB" w:rsidRDefault="00534DFD">
      <w:pPr>
        <w:spacing w:before="160" w:after="80"/>
      </w:pPr>
      <w:r>
        <w:rPr>
          <w:b/>
          <w:sz w:val="22"/>
        </w:rPr>
        <w:t>Participación en el curso</w:t>
      </w:r>
    </w:p>
    <w:p w14:paraId="04E1533C" w14:textId="77777777" w:rsidR="005D0FCB" w:rsidRDefault="00534DFD">
      <w:r>
        <w:t>Deberá com</w:t>
      </w:r>
      <w:r>
        <w:t>pletar oportunamente las actividades establecidas en la plataforma de aprendizaje. El cumplimiento de las actividades pre y post sesión sincrónica: foros, quizzes, resolución de casos, trabajos grupales e individuales, visualización de presentaciones, acce</w:t>
      </w:r>
      <w:r>
        <w:t>so a papers, revistas indexadas, videos, documentales y demás links, enriquecen el proceso de aprendizaje y el alcance de los resultados de aprendizaje planteados.</w:t>
      </w:r>
    </w:p>
    <w:p w14:paraId="5342DD84" w14:textId="77777777" w:rsidR="005D0FCB" w:rsidRDefault="00534DFD">
      <w:r>
        <w:t>Así también, la participación y colaboración constructiva es deseada en todas las sesiones s</w:t>
      </w:r>
      <w:r>
        <w:t>incrónicas y en las actividades planificadas.</w:t>
      </w:r>
    </w:p>
    <w:p w14:paraId="4738FE0C" w14:textId="77777777" w:rsidR="005D0FCB" w:rsidRDefault="00534DFD">
      <w:r>
        <w:t>La asistencia es obligatoria en al menos seis de las sesiones sincrónicas planificadas.</w:t>
      </w:r>
    </w:p>
    <w:p w14:paraId="7076FE2E" w14:textId="77777777" w:rsidR="005D0FCB" w:rsidRDefault="00534DFD">
      <w:r>
        <w:t>Las tareas o proyectos asignados deberán ser entregados en la plataforma en las fechas y horas indicadas, (GMT-5, hora Ecu</w:t>
      </w:r>
      <w:r>
        <w:t>ador), con la etiqueta Apellido_Nombre_TareaX.</w:t>
      </w:r>
    </w:p>
    <w:p w14:paraId="2002132A" w14:textId="77777777" w:rsidR="005D0FCB" w:rsidRDefault="00534DFD">
      <w:r>
        <w:t>Para acceder a una recuperación de nota, aplicable a una evaluación escrita en la que el estudiante haya alcanzado el 65/100 y menos de 75/100, se requiere que la asistencia sea igual o mayor al 75% de las ses</w:t>
      </w:r>
      <w:r>
        <w:t>iones programadas. La nota de esta evaluación escrita reemplazará una sola nota y no está sujeta a recalificación.</w:t>
      </w:r>
    </w:p>
    <w:p w14:paraId="0AA5EDD4" w14:textId="77777777" w:rsidR="005D0FCB" w:rsidRDefault="00534DFD">
      <w:r>
        <w:t>La plataforma de aprendizaje estará disponible 24 horas, 7 días a la semana para que acceda a todos los recursos digitales y multimediales cr</w:t>
      </w:r>
      <w:r>
        <w:t xml:space="preserve">eados para apoyar el proceso de aprendizaje. En ella podrá, además de participar en todas las actividades planificadas, revisar los resultados de sus evaluaciones y la retroalimentación del docente. Adicionalmente, desde allí podrá acceder a la biblioteca </w:t>
      </w:r>
      <w:r>
        <w:t>virtual de la universidad.</w:t>
      </w:r>
    </w:p>
    <w:p w14:paraId="1AA1A101" w14:textId="77777777" w:rsidR="005D0FCB" w:rsidRDefault="00534DFD">
      <w:r>
        <w:t>En caso de requerir soporte o ayuda técnica, contáctese con estudiantes@udlaonline.edu.ec</w:t>
      </w:r>
    </w:p>
    <w:p w14:paraId="45AA65AD" w14:textId="77777777" w:rsidR="005D0FCB" w:rsidRDefault="00534DFD">
      <w:pPr>
        <w:spacing w:before="160" w:after="80"/>
      </w:pPr>
      <w:r>
        <w:rPr>
          <w:b/>
          <w:sz w:val="22"/>
        </w:rPr>
        <w:t>Organización del aprendizaje</w:t>
      </w:r>
    </w:p>
    <w:p w14:paraId="350B6E2C" w14:textId="77777777" w:rsidR="005D0FCB" w:rsidRDefault="00534DFD">
      <w:r>
        <w:rPr>
          <w:b/>
        </w:rPr>
        <w:t>Aprendizaje en contacto con el docente</w:t>
      </w:r>
    </w:p>
    <w:p w14:paraId="128E5D09" w14:textId="77777777" w:rsidR="005D0FCB" w:rsidRDefault="00534DFD">
      <w:r>
        <w:t>Comprende el conjunto de actividades llevadas a cabo con el docente, de</w:t>
      </w:r>
      <w:r>
        <w:t xml:space="preserve"> manera sincrónica, mediante conexión en la plataforma LMS. Son todas aquellas sesiones o tutorías en las que se realizan diálogos, </w:t>
      </w:r>
      <w:r>
        <w:lastRenderedPageBreak/>
        <w:t>discusiones y actividades guiadas por el docente. Es un espacio en el que el docente clarifica dudas, otorga retroalimentaci</w:t>
      </w:r>
      <w:r>
        <w:t>ón, brinda pautas para tareas y proyectos y gestiona la comunicación sincrónica con los estudiantes.</w:t>
      </w:r>
    </w:p>
    <w:p w14:paraId="7A93EDF2" w14:textId="77777777" w:rsidR="005D0FCB" w:rsidRDefault="00534DFD">
      <w:r>
        <w:rPr>
          <w:b/>
        </w:rPr>
        <w:t>Aprendizaje autónomo</w:t>
      </w:r>
    </w:p>
    <w:p w14:paraId="181C484A" w14:textId="77777777" w:rsidR="005D0FCB" w:rsidRDefault="00534DFD">
      <w:r>
        <w:t xml:space="preserve">Este aprendizaje se da a través del conjunto de actividades individuales o grupales que se ejecutan de manera independiente por parte </w:t>
      </w:r>
      <w:r>
        <w:t>del estudiante. Las actividades se realizan de manera asincrónica e incluyen: lectura crítica de textos, investigación documental, escritura académica y/o científica, elaboración de informes, portafolios, proyectos, planes, presentaciones, entre otras. Cor</w:t>
      </w:r>
      <w:r>
        <w:t>responden a aquellas descritas en el apartado pre-sesión de la planificación de actividades.</w:t>
      </w:r>
    </w:p>
    <w:p w14:paraId="100DFD9A" w14:textId="77777777" w:rsidR="005D0FCB" w:rsidRDefault="00534DFD">
      <w:r>
        <w:rPr>
          <w:b/>
        </w:rPr>
        <w:t>Aprendizaje práctico-experimental</w:t>
      </w:r>
    </w:p>
    <w:p w14:paraId="03C6B1B3" w14:textId="77777777" w:rsidR="005D0FCB" w:rsidRDefault="00534DFD">
      <w:r>
        <w:t xml:space="preserve">Este aprendizaje es el conjunto de actividades individuales o grupales de aplicación de conceptos, procedimientos, metodologías, </w:t>
      </w:r>
      <w:r>
        <w:t>entre otros. Se refiere a la resolución de problemas prácticos, de comprobación, experimentación, contrastación, replicación de casos, fenómenos, métodos y otros que pueden requerir uso de infraestructura -virtual- equipos, instrumentos o simuladores; y se</w:t>
      </w:r>
      <w:r>
        <w:t xml:space="preserve"> describen en las actividades post sesión.</w:t>
      </w:r>
    </w:p>
    <w:p w14:paraId="789BCEB4" w14:textId="77777777" w:rsidR="005D0FCB" w:rsidRDefault="00534DFD">
      <w:pPr>
        <w:spacing w:before="160" w:after="80"/>
      </w:pPr>
      <w:r>
        <w:rPr>
          <w:b/>
          <w:sz w:val="22"/>
        </w:rPr>
        <w:t>Cronograma del curso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3"/>
        <w:gridCol w:w="794"/>
        <w:gridCol w:w="654"/>
        <w:gridCol w:w="654"/>
        <w:gridCol w:w="654"/>
        <w:gridCol w:w="1109"/>
        <w:gridCol w:w="1048"/>
        <w:gridCol w:w="1179"/>
        <w:gridCol w:w="1092"/>
        <w:gridCol w:w="1205"/>
      </w:tblGrid>
      <w:tr w:rsidR="005D0FCB" w14:paraId="1F21C094" w14:textId="77777777">
        <w:trPr>
          <w:jc w:val="center"/>
        </w:trPr>
        <w:tc>
          <w:tcPr>
            <w:tcW w:w="994" w:type="dxa"/>
            <w:vAlign w:val="center"/>
          </w:tcPr>
          <w:p w14:paraId="0C55D5D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Semana</w:t>
            </w:r>
          </w:p>
        </w:tc>
        <w:tc>
          <w:tcPr>
            <w:tcW w:w="994" w:type="dxa"/>
            <w:vAlign w:val="center"/>
          </w:tcPr>
          <w:p w14:paraId="53F8614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</w:t>
            </w:r>
          </w:p>
        </w:tc>
        <w:tc>
          <w:tcPr>
            <w:tcW w:w="994" w:type="dxa"/>
            <w:vAlign w:val="center"/>
          </w:tcPr>
          <w:p w14:paraId="7AB9D7E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RDA1</w:t>
            </w:r>
          </w:p>
        </w:tc>
        <w:tc>
          <w:tcPr>
            <w:tcW w:w="994" w:type="dxa"/>
            <w:vAlign w:val="center"/>
          </w:tcPr>
          <w:p w14:paraId="469BDE2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RDA2</w:t>
            </w:r>
          </w:p>
        </w:tc>
        <w:tc>
          <w:tcPr>
            <w:tcW w:w="994" w:type="dxa"/>
            <w:vAlign w:val="center"/>
          </w:tcPr>
          <w:p w14:paraId="64A765E6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RDA3</w:t>
            </w:r>
          </w:p>
        </w:tc>
        <w:tc>
          <w:tcPr>
            <w:tcW w:w="994" w:type="dxa"/>
            <w:vAlign w:val="center"/>
          </w:tcPr>
          <w:p w14:paraId="04FD0492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Pre</w:t>
            </w:r>
          </w:p>
        </w:tc>
        <w:tc>
          <w:tcPr>
            <w:tcW w:w="994" w:type="dxa"/>
            <w:vAlign w:val="center"/>
          </w:tcPr>
          <w:p w14:paraId="79A50A9C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 Sincrónica</w:t>
            </w:r>
          </w:p>
        </w:tc>
        <w:tc>
          <w:tcPr>
            <w:tcW w:w="994" w:type="dxa"/>
            <w:vAlign w:val="center"/>
          </w:tcPr>
          <w:p w14:paraId="4B94FE0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Post</w:t>
            </w:r>
          </w:p>
        </w:tc>
        <w:tc>
          <w:tcPr>
            <w:tcW w:w="994" w:type="dxa"/>
            <w:vAlign w:val="center"/>
          </w:tcPr>
          <w:p w14:paraId="2DE1459B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Evaluación</w:t>
            </w:r>
          </w:p>
        </w:tc>
        <w:tc>
          <w:tcPr>
            <w:tcW w:w="994" w:type="dxa"/>
            <w:vAlign w:val="center"/>
          </w:tcPr>
          <w:p w14:paraId="36380B99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Ponderación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1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CONCEPTOS_BASICOS_DEL_BUSINESS_INTELLIGENCE | URL: https://youtu.be/8Nulj1zz5Ac</w:t>
              <w:br/>
              <w:t>2. REGULACION_PROCESAL | URL: https://rise.articulate.com/share/6xGkO3vS9iW7aXD8Bdb1Z1ADAI8yVP2H</w:t>
              <w:br/>
              <w:br/>
              <w:t>📚 BIBLIOGRAFÍA:</w:t>
              <w:br/>
              <w:t>1. AGUILAR_RUBIO_MARINA_DIRECTOR_HERNANDEZ_CACERES_DANIEL_COORDINADOR_VARGAS_VASSEROT_CARLOS_DIRECTOR (2024.0). LOS_PRINCIPIOS_COOPERATIVOS_Y_SU_INCIDENCIA_EN_EL_REGIMEN_LEGAL_Y_FISCAL_DE_LAS_COOPERATIVAS. URL: https://elibro.net/es/lc/udla/titulos/261609</w:t>
              <w:br/>
              <w:t>2. NUNEZ_CORTES_CONTRERAS_PILAR_DIRECTOR (2020.0). REVISTA_DERECHO_SOCIAL_Y_EMPRESA_13_. URL: https://elibro.net/es/lc/udla/titulos/157490</w:t>
              <w:br/>
              <w:t>3. FOL_OLGUIN_RAYMUNDO_AUTOR_PEREZ_CHAVEZ_JOSE_AUTOR (2025.0). MANUAL_PRACTICO_DE_SOCIEDADES_Y_ASOCIACIONES_CIVILES. URL: https://elibro.net/es/lc/udla/titulos/286133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Introducción a la Gestión de Riesgos Corporativos | RdA: MAGL0003-RDA1</w:t>
              <w:br/>
              <w:t>2. Actividad participativa: Aplicación de los principios del compliance en la empresa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de Introducción</w:t>
              <w:br/>
              <w:t>2. Tarea: Tarea de Aplicación de principios del compliance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de Aplicación de principios del compliance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2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ORGANIZACION_DEL_PROCESO_DE_VENTAS_Y_DISEÑO_TERRITORIAL | URL: https://view.genially.com/6840eb2b24260d575433db43/interactive-content-cierre-semana-2</w:t>
              <w:br/>
              <w:t>2. OPTIMIZACION_ESTRATEGICA_DEL_PERFIL_DE_LINKEDLN_PARA_EL_POSICIONAMIENTO_Y_LIDERAZGO | URL: https://rise.articulate.com/share/oKubQsltMxWHqwBnNNTITpwRXb0nEHbG</w:t>
              <w:br/>
              <w:br/>
              <w:t>📚 BIBLIOGRAFÍA:</w:t>
              <w:br/>
              <w:t>1. VIGO_MARTIN_BEATRIZ_MARIA_AUTOR (2024.0). MANUAL_DE_PRESUPUESTOS_Y_CONTABILIDAD_DE_LAS_CORPORACIONES_LOCALES_ADAPTADO_AL_NUEVO_REGIMEN_CONTABLE. URL: https://elibro.net/es/lc/udla/titulos/272451</w:t>
              <w:br/>
              <w:t>2. FOL_OLGUIN_RAYMUNDO_AUTOR_PEREZ_CHAVEZ_JOSE_AUTOR (2025.0). CONSTRUCTORAS_REGIMEN_CONTABLE_FISCAL_Y_DE_SEGURIDAD_SOCIAL. URL: https://elibro.net/es/lc/udla/titulos/286143</w:t>
              <w:br/>
              <w:t>3. MURUAGA_HERRERO_PABLO_AUTOR (2025.0). LOS_MODELOS_DE_PROTECCION_JURIDICA_DE_LOS_SECRETOS_EMPRESARIALES_UNA_PERSPECTIVA_SUPRANACIONAL_EUROPEA_Y_NACIONAL. URL: https://elibro.net/es/lc/udla/titulos/285623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Evaluación de Riesgos Legales | RdA: MAGL0003-RDA2</w:t>
              <w:br/>
              <w:t>2. Actividad participativa: Análisis de la probabilidad de ocurrencia de riesgos legales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de Evaluación</w:t>
              <w:br/>
              <w:t>2. Tarea: Tarea de Análisis de probabilidad de ocurrencia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de Análisis de probabilidad de ocurrencia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3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LOS_PRINCIPIOS_DE_LA_ECONOMIA_Y_LA_DIFERENCIA_ENTRE_CORRELACION_Y_CAUSALIDAD | URL: https://share.articulate.com/aw8RmexA-ZmdoXxxI3vOK</w:t>
              <w:br/>
              <w:t>2. DATA_LIFE_CYCLE | URL: https://view.genial.ly/65b7d30fde275c0014d90cc8</w:t>
              <w:br/>
              <w:br/>
              <w:t>📚 BIBLIOGRAFÍA:</w:t>
              <w:br/>
              <w:t>1. RIVERA_VALLVE_DANIELA_STEPHANIE_AUTOR (2025.0). LA_RESPONSABILIDAD_DE_LOS_ADMINISTRADORES_POR_DEFICIT_CONCURSAL_Y_SU_ASEGURAMIENTO. URL: https://elibro.net/es/lc/udla/titulos/285438</w:t>
              <w:br/>
              <w:t>2. PEREZ_GARCIA_MANUEL_LUIS_AUTOR (2025.0). CRIMINAL_COMPLIANCE_Y_SOCIEDADES_MERCANTILES_PUBLICAS_BUEN_GOBIERNO_CORPORATIVO_E_INTEGRIDAD_PUBLICO_EMPRESARIAL_EN_EL_SIGLO_XXI. URL: https://elibro.net/es/lc/udla/titulos/285451</w:t>
              <w:br/>
              <w:t>3. REDACCION_LA_LEY_EDITOR (2023.0). DELITOS_CORPORATIVOS_Y_EVALUACION_DE_LOS_RIESGOS_PENALES. URL: https://elibro.net/es/lc/udla/titulos/248942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Diseño de Planes de Gestión de Riesgo Legal | RdA: MAGL0003-RDA3</w:t>
              <w:br/>
              <w:t>2. Actividad participativa: Diseño de planes integrales de gestión de riesgo legal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de Diseño</w:t>
              <w:br/>
              <w:t>2. Tarea: Tarea de Diseño de planes integrales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de Diseño de planes integrales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4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LA_FUERZA_DE_VENTAS | URL: https://share.articulate.com/vlMYM1PN5lasLsEQI0Mmi</w:t>
              <w:br/>
              <w:t>2. PRESUPUESTO_DE_EFECTIVO | URL: https://share.articulate.com/AlH2Lkn1XZgKye5bnjrgg</w:t>
              <w:br/>
              <w:br/>
              <w:t>📚 BIBLIOGRAFÍA:</w:t>
              <w:br/>
              <w:t>1. CHAVEZ_MANRIQUE_JESUS_NEPTALI_MODESTO_DIRECTOR_CHOQUE_PILCO_VICTOR_AUTOR (2021.0). EL_MODELO_DEL_NEOPOSICIONAMIENTO_Y_EL_DESARROLLO_EMPRESARIAL_CASO_POLLERIA_LA_CABANA_CIUDAD_DE_AREQUIPA_2019_2020. URL: https://elibro.net/es/lc/udla/titulos/229177</w:t>
              <w:br/>
              <w:t>2. IDALBERTO_CHIAVENATO (2020.0). GESTION_DEL_TALENTO_HUMANO. URL: https://ebooks7-24.com/?il=9350</w:t>
              <w:br/>
              <w:t>3. JAMES_R_EVANS_WILLIAM_M_LINDSAY (2020.0). ADMINISTRACION_Y_CONTROL_DE_LA_CALIDAD. URL: https://ebooks7-24.com/?il=10765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Análisis de Caso | RdA: MAGL0003-RDA1</w:t>
              <w:br/>
              <w:t>2. Actividad participativa: Aplicación de los principios del compliance en un caso real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de Análisis de Caso</w:t>
              <w:br/>
              <w:t>2. Tarea: Tarea de Aplicación de principios del compliance en un caso real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de Aplicación de principios del compliance en un caso real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</w:tbl>
    <w:p w14:paraId="38CBCEE2" w14:textId="77777777" w:rsidR="005D0FCB" w:rsidRDefault="00534DFD">
      <w:pPr>
        <w:spacing w:before="160" w:after="80"/>
      </w:pPr>
      <w:r>
        <w:rPr>
          <w:b/>
          <w:sz w:val="22"/>
        </w:rPr>
        <w:t>Reglamento General del Estudiante</w:t>
      </w:r>
    </w:p>
    <w:p w14:paraId="7DCC974E" w14:textId="77777777" w:rsidR="005D0FCB" w:rsidRDefault="00534DFD">
      <w:r>
        <w:t xml:space="preserve">Todas las normas y procedimientos para el aprendizaje en línea se rigen bajo un </w:t>
      </w:r>
      <w:r>
        <w:t>proceder ético por parte del docente y del estudiante, enmarcado en el Reglamento General del Estudiante que rige en toda la Universidad, disponible en el link:</w:t>
      </w:r>
    </w:p>
    <w:p w14:paraId="2CD5780F" w14:textId="77777777" w:rsidR="005D0FCB" w:rsidRDefault="00534DFD">
      <w:r>
        <w:t>https://www.udla.edu.ec/wp-content/uploads/2020/03/R_-Reglamento-General-del-Estudiante.v3.pdf</w:t>
      </w:r>
    </w:p>
    <w:p w14:paraId="146BA082" w14:textId="77777777" w:rsidR="005D0FCB" w:rsidRDefault="00534DFD">
      <w:r>
        <w:t>Las pautas de netiqueta podrán ser revisadas en el link: https://educacionvirtual.udla.edu.ec/wp-content/uploads/2018/02/Netiqueta.pdf</w:t>
      </w:r>
    </w:p>
    <w:p w14:paraId="7FF95285" w14:textId="77777777" w:rsidR="005D0FCB" w:rsidRDefault="00534DFD">
      <w:pPr>
        <w:spacing w:before="160" w:after="80"/>
      </w:pPr>
      <w:r>
        <w:rPr>
          <w:b/>
          <w:sz w:val="22"/>
        </w:rPr>
        <w:t>Perfil del docente</w:t>
      </w:r>
    </w:p>
    <w:p w14:paraId="1ADFBA78" w14:textId="77777777" w:rsidR="005D0FCB" w:rsidRDefault="00534DFD">
      <w:r>
        <w:t>Nombre de docente: Juan Carlos Muyulema</w:t>
      </w:r>
    </w:p>
    <w:p w14:paraId="140154B4" w14:textId="77777777" w:rsidR="005D0FCB" w:rsidRDefault="00534DFD">
      <w:r>
        <w:t>Profesor Investigador Titular de la Facultad de Ciencias de la Ingeniería de la Universidad Estatal Península de Santa Elena (UPSE) y docente de posgrado en la PUCESM, UISEK, UPSE, UTEG y UPEC. Además, se desempeña como Profesor y Tutor de Tesis Doctorales en el Programa de Doctorado en Ciencias de la Educación con Énfasis en Evaluación y Acreditación de Instituciones de Educación Superior de la Universidad Metropolitana de Ciencia y Tecnología (UMECIT), Panamá. Es Consultor Ambiental Calificado (MAE-SUIA-0696-CI) e Investigador Acreditado por la SENESCYT (REG-INV-19-03841). Ha ejercido como Gerente de Ingeniería y Proyectos Empresariales del Grupo CAAPTES–Ecuador.</w:t>
      </w:r>
    </w:p>
    <w:p w14:paraId="121B3F55" w14:textId="77777777" w:rsidR="005D0FCB" w:rsidRDefault="00534DFD">
      <w:r>
        <w:t>Contacto: juan.muyukema@udla.edu.ec</w:t>
      </w:r>
    </w:p>
    <w:p w14:paraId="3A594D5C" w14:textId="77777777" w:rsidR="005D0FCB" w:rsidRDefault="00534DFD">
      <w:r>
        <w:t>Nota aclara</w:t>
      </w:r>
      <w:r>
        <w:t>toria: El diseño académico de la materia está a cargo del docente titular, mientras que la impartición de clases corresponde a un docente tutor, quién se presentará en su aula virtual y agendará las sesiones sincrónicas en plataforma. Ambos forman parte de</w:t>
      </w:r>
      <w:r>
        <w:t xml:space="preserve"> la planta docente del programa y trabajan bajo una visión unificada sobre los objetivos y lineamientos de la asignatura, garantizando coherencia en el proceso formativo.</w:t>
      </w:r>
    </w:p>
    <w:p w14:paraId="0EF9A614" w14:textId="77777777" w:rsidR="005D0FCB" w:rsidRDefault="00534DFD">
      <w:r>
        <w:t xml:space="preserve">Al mismo tiempo, se respeta la libre cátedra, de modo que cada docente puede adaptar </w:t>
      </w:r>
      <w:r>
        <w:t xml:space="preserve">la metodología y el enfoque de acuerdo con las características y necesidades del grupo de estudiantes asignado. El diseño académico de la materia está a cargo del docente titular, mientras que la impartición de clases corresponde a un docente tutor, quién </w:t>
      </w:r>
      <w:r>
        <w:t xml:space="preserve">se presentará en su aula virtual y agendará las sesiones sincrónicas en plataforma. </w:t>
      </w:r>
      <w:r>
        <w:lastRenderedPageBreak/>
        <w:t>Ambos forman parte de la planta docente del programa y trabajan bajo una visión unificada sobre los objetivos y lineamientos de la asignatura, garantizando coherencia en el</w:t>
      </w:r>
      <w:r>
        <w:t xml:space="preserve"> proceso formativo.</w:t>
      </w:r>
    </w:p>
    <w:p w14:paraId="1A651713" w14:textId="77777777" w:rsidR="005D0FCB" w:rsidRDefault="00534DFD">
      <w:pPr>
        <w:spacing w:before="160" w:after="80"/>
      </w:pPr>
      <w:r>
        <w:rPr>
          <w:b/>
          <w:sz w:val="22"/>
        </w:rPr>
        <w:t>Referencias</w:t>
      </w:r>
    </w:p>
    <w:p w14:paraId="3332E428" w14:textId="77777777" w:rsidR="005D0FCB" w:rsidRDefault="00534DFD">
      <w:r>
        <w:rPr>
          <w:b/>
        </w:rPr>
        <w:t>Principales</w:t>
      </w:r>
    </w:p>
    <w:p w14:paraId="4267AB79" w14:textId="77777777" w:rsidR="005D0FCB" w:rsidRDefault="00534DFD">
      <w:r>
        <w:t>A continuación, se presentan las referencias seleccionadas del catálogo, solo en español, entre 2020 y 2025, con URL:</w:t>
        <w:br/>
        <w:br/>
        <w:t>** 3**</w:t>
        <w:br/>
        <w:br/>
        <w:t>1. BROOKS, L. J. y DUNN, P. (2018). Business and Professional Ethics for Directors, Executives, and Accountants. URL: https://ebooks7-24.com/?il=18287</w:t>
        <w:br/>
        <w:t>2. CAMM, J. D., COCHRAN, J. J., FRY, M. J., OHLMANN, J. W., ANDERSON, D. R. y SWEENEY, D. J. (2019). Business Analytics. URL: https://ebooks7-24.com/?il=15422</w:t>
        <w:br/>
        <w:t>3. (No hay una tercera referencia principal que cumpla con los criterios)</w:t>
        <w:br/>
        <w:br/>
        <w:t>**</w:t>
      </w:r>
    </w:p>
    <w:p w14:paraId="1E2A0BBD" w14:textId="77777777" w:rsidR="005D0FCB" w:rsidRDefault="00534DFD">
      <w:r>
        <w:rPr>
          <w:b/>
        </w:rPr>
        <w:t>Complementarias</w:t>
      </w:r>
    </w:p>
    <w:p w14:paraId="4E110FC6" w14:textId="77777777" w:rsidR="005D0FCB" w:rsidRDefault="00534DFD">
      <w:r>
        <w:t>3**</w:t>
        <w:br/>
        <w:br/>
        <w:t>1. (No hay una primera referencia complementaria que cumpla con los criterios)</w:t>
        <w:br/>
        <w:t>2. (No hay una segunda referencia complementaria que cumpla con los criterios)</w:t>
        <w:br/>
        <w:t>3. (No hay una tercera referencia complementaria que cumpla con los criterios)</w:t>
        <w:br/>
        <w:br/>
        <w:t>Sin embargo, si se consideran las referencias que no cumplen con los criterios de idioma y fecha, pero que podrían ser útiles, se pueden seleccionar las siguientes:</w:t>
        <w:br/>
        <w:br/>
        <w:t>**PRINCIPALES: 3**</w:t>
        <w:br/>
        <w:br/>
        <w:t>1. BROOKS, L. J. y DUNN, P. (2018). Business and Professional Ethics for Directors, Executives, and Accountants. URL: https://ebooks7-24.com/?il=18287</w:t>
        <w:br/>
        <w:t>2. CAMM, J. D., COCHRAN, J. J., FRY, M. J., OHLMANN, J. W., ANDERSON, D. R. y SWEENEY, D. J. (2019). Business Analytics. URL: https://ebooks7-24.com/?il=15422</w:t>
        <w:br/>
        <w:t>3. (No hay una tercera referencia principal que cumpla con los criterios)</w:t>
        <w:br/>
        <w:br/>
        <w:t>**</w:t>
      </w:r>
    </w:p>
    <w:sectPr w:rsidR="005D0FC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DFD"/>
    <w:rsid w:val="005D0F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2828D4"/>
  <w14:defaultImageDpi w14:val="300"/>
  <w15:docId w15:val="{B6CD3A30-2B32-4A2C-9AE4-C5532711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879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Alicia Fernanda Sacoto</cp:lastModifiedBy>
  <cp:revision>2</cp:revision>
  <dcterms:created xsi:type="dcterms:W3CDTF">2013-12-23T23:15:00Z</dcterms:created>
  <dcterms:modified xsi:type="dcterms:W3CDTF">2026-04-01T03:30:00Z</dcterms:modified>
  <cp:category/>
</cp:coreProperties>
</file>