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>MAESTRÍA EN ASESORÍA Y GERENCIA LEGAL</w:t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3.0</w:t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16</w:t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144.0</w:t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48</w:t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48.0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48.0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/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>• MAGL0001-RDA1 Utiliza marcos conceptuales y herramientas de análisis con el objetivo de desarrollar un plan estratégico para una organización.</w:t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28"/>
        <w:gridCol w:w="1134"/>
        <w:gridCol w:w="992"/>
        <w:gridCol w:w="992"/>
        <w:gridCol w:w="992"/>
        <w:gridCol w:w="1418"/>
        <w:gridCol w:w="1417"/>
        <w:gridCol w:w="1418"/>
        <w:gridCol w:w="1417"/>
        <w:gridCol w:w="2127"/>
        <w:gridCol w:w="850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