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/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/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/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/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516"/>
        <w:gridCol w:w="170"/>
        <w:gridCol w:w="149"/>
        <w:gridCol w:w="149"/>
        <w:gridCol w:w="149"/>
        <w:gridCol w:w="213"/>
        <w:gridCol w:w="213"/>
        <w:gridCol w:w="213"/>
        <w:gridCol w:w="213"/>
        <w:gridCol w:w="320"/>
        <w:gridCol w:w="128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  <w:gridCol w:w="221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Video-clase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Taller: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Evaluación Continua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Video-clase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Taller: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Evaluación Continua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Video-clase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Taller: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Evaluación Continua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Video-clase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Taller: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Evaluación Continua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Video-clase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Taller: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Evaluación Continua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Video-clase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Taller: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Evaluación Continua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Video-clase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Taller: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Evaluación Continua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Video-clase SIGAD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Taller: ESTRATEGIA EMPR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Actividad Autónoma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Evaluación Continua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12.5%</w:t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