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F20C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23928197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16"/>
        <w:gridCol w:w="1437"/>
        <w:gridCol w:w="370"/>
        <w:gridCol w:w="3597"/>
        <w:gridCol w:w="370"/>
        <w:gridCol w:w="3918"/>
      </w:tblGrid>
      <w:tr w:rsidR="001C2AEC" w:rsidRPr="001C2AEC" w14:paraId="1707E675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6823F6B" w14:textId="3A27CE99" w:rsidR="001C2AEC" w:rsidRPr="001C2AEC" w:rsidRDefault="001C605A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42D96FB" wp14:editId="0405D508">
                  <wp:extent cx="2855595" cy="160464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160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7C33E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399CD0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E5C8060" w14:textId="2342013E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3DB5F17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7FD2F30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14:paraId="54266676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520DBD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D951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506CE3E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C70D5D5" w14:textId="0DD8A5EB" w:rsidR="00975A3D" w:rsidRPr="00975A3D" w:rsidRDefault="008264D4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Learn to be computer Literate</w:t>
            </w:r>
            <w:r w:rsidR="00311806">
              <w:rPr>
                <w:color w:val="000000" w:themeColor="text1"/>
              </w:rPr>
              <w:t xml:space="preserve"> sufficiently, </w:t>
            </w:r>
            <w:r w:rsidR="00C7176F">
              <w:rPr>
                <w:color w:val="000000" w:themeColor="text1"/>
              </w:rPr>
              <w:t xml:space="preserve">to enhance the </w:t>
            </w:r>
            <w:r w:rsidR="007E24AF">
              <w:rPr>
                <w:color w:val="000000" w:themeColor="text1"/>
              </w:rPr>
              <w:t>visual</w:t>
            </w:r>
            <w:r w:rsidR="00436A1D">
              <w:rPr>
                <w:color w:val="000000" w:themeColor="text1"/>
              </w:rPr>
              <w:t xml:space="preserve"> appeal of her work as an author.</w:t>
            </w:r>
            <w:r w:rsidR="001D3FE9">
              <w:rPr>
                <w:color w:val="000000" w:themeColor="text1"/>
              </w:rPr>
              <w:t xml:space="preserve"> To have complimentary</w:t>
            </w:r>
            <w:r w:rsidR="00143451">
              <w:rPr>
                <w:color w:val="000000" w:themeColor="text1"/>
              </w:rPr>
              <w:t xml:space="preserve"> tech support so she can work remotely from anywhere she chooses</w:t>
            </w:r>
            <w:r w:rsidR="00C05DED">
              <w:rPr>
                <w:color w:val="000000" w:themeColor="text1"/>
              </w:rPr>
              <w:t xml:space="preserve">, in the comfort </w:t>
            </w:r>
            <w:r w:rsidR="00CE5AF8">
              <w:rPr>
                <w:color w:val="000000" w:themeColor="text1"/>
              </w:rPr>
              <w:t>and environment</w:t>
            </w:r>
            <w:r w:rsidR="00F02134">
              <w:rPr>
                <w:color w:val="000000" w:themeColor="text1"/>
              </w:rPr>
              <w:t xml:space="preserve"> that </w:t>
            </w:r>
            <w:r w:rsidR="00584C26">
              <w:rPr>
                <w:color w:val="000000" w:themeColor="text1"/>
              </w:rPr>
              <w:t xml:space="preserve">supplements her muse.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C84B5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08C55A6" w14:textId="77777777" w:rsidR="00975A3D" w:rsidRDefault="001419AD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greatest challenge is to </w:t>
            </w:r>
            <w:r w:rsidR="009F3C33">
              <w:rPr>
                <w:color w:val="000000" w:themeColor="text1"/>
              </w:rPr>
              <w:t>find software that works</w:t>
            </w:r>
            <w:r w:rsidR="00AB34A2">
              <w:rPr>
                <w:color w:val="000000" w:themeColor="text1"/>
              </w:rPr>
              <w:t xml:space="preserve"> as an effective editor, without changing the </w:t>
            </w:r>
            <w:r w:rsidR="003844BE">
              <w:rPr>
                <w:color w:val="000000" w:themeColor="text1"/>
              </w:rPr>
              <w:t>meaning of the authored material.</w:t>
            </w:r>
            <w:r w:rsidR="00C270E8">
              <w:rPr>
                <w:color w:val="000000" w:themeColor="text1"/>
              </w:rPr>
              <w:t xml:space="preserve"> And </w:t>
            </w:r>
          </w:p>
          <w:p w14:paraId="11FDE427" w14:textId="71B5A51E" w:rsidR="00C270E8" w:rsidRPr="00975A3D" w:rsidRDefault="00C270E8" w:rsidP="001C2AEC">
            <w:pPr>
              <w:rPr>
                <w:color w:val="000000" w:themeColor="text1"/>
              </w:rPr>
            </w:pPr>
          </w:p>
        </w:tc>
      </w:tr>
      <w:tr w:rsidR="00975A3D" w:rsidRPr="001C2AEC" w14:paraId="06AC68F2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035A2D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4B51A7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32C5844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E7055F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69F753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E61BD6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54888842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1F42D2E0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1A08F6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7A931F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0EE8D4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AAE874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734A92E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4E0212C" w14:textId="527B068B" w:rsidR="00975A3D" w:rsidRPr="001C2AEC" w:rsidRDefault="00664193" w:rsidP="001C2AEC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54B6DC7C" wp14:editId="063560A9">
                  <wp:extent cx="2171700" cy="21050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B7B5C">
              <w:rPr>
                <w:b/>
                <w:color w:val="000000" w:themeColor="text1"/>
              </w:rPr>
              <w:br/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655C9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C9EE5C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6E0D43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A38FC5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F616BD5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A4B505C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6569CA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3C3CA1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2BD88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21D76B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7128FAF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7729A2D" w14:textId="7118A3C8" w:rsidR="00975A3D" w:rsidRPr="001C2AEC" w:rsidRDefault="00947A7E" w:rsidP="001C2AEC">
            <w:pPr>
              <w:rPr>
                <w:noProof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Roxana </w:t>
            </w:r>
            <w:proofErr w:type="spellStart"/>
            <w:r>
              <w:rPr>
                <w:b/>
                <w:color w:val="000000" w:themeColor="text1"/>
              </w:rPr>
              <w:t>Kalyanwala</w:t>
            </w:r>
            <w:proofErr w:type="spellEnd"/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919B5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701677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BEC358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FCE43F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01BB8654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E1EF973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4554988E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596D490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096F89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ACBA666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29CD62E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21CEDE1" w14:textId="6D4E0BFA" w:rsidR="00975A3D" w:rsidRPr="001C2AEC" w:rsidRDefault="007D53F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62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ADE8E6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70A0911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70AB08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2024408F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14:paraId="374A1EF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758E1AF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7D6CA4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461A8EC9" w14:textId="3F12A2D9" w:rsidR="00975A3D" w:rsidRPr="00975A3D" w:rsidRDefault="00594E2A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Insufficient </w:t>
            </w:r>
            <w:proofErr w:type="spellStart"/>
            <w:r>
              <w:rPr>
                <w:color w:val="000000" w:themeColor="text1"/>
              </w:rPr>
              <w:t>Wifi</w:t>
            </w:r>
            <w:proofErr w:type="spellEnd"/>
            <w:r>
              <w:rPr>
                <w:color w:val="000000" w:themeColor="text1"/>
              </w:rPr>
              <w:t xml:space="preserve"> speed</w:t>
            </w:r>
            <w:r w:rsidR="00F45B8C">
              <w:rPr>
                <w:color w:val="000000" w:themeColor="text1"/>
              </w:rPr>
              <w:t xml:space="preserve"> at a few </w:t>
            </w:r>
            <w:r w:rsidR="00ED2684">
              <w:rPr>
                <w:color w:val="000000" w:themeColor="text1"/>
              </w:rPr>
              <w:t>locations</w:t>
            </w:r>
            <w:r w:rsidR="0047798C">
              <w:rPr>
                <w:color w:val="000000" w:themeColor="text1"/>
              </w:rPr>
              <w:t>. Coming up with finances to buy better Tech that is not bulky</w:t>
            </w:r>
            <w:r w:rsidR="00100837">
              <w:rPr>
                <w:color w:val="000000" w:themeColor="text1"/>
              </w:rPr>
              <w:t xml:space="preserve"> to cart around</w:t>
            </w:r>
            <w:r w:rsidR="00DB4FE4">
              <w:rPr>
                <w:color w:val="000000" w:themeColor="text1"/>
              </w:rPr>
              <w:t xml:space="preserve"> and simple and easy to use.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3E4871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11E6D0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14:paraId="58BD8E9B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19350E3" w14:textId="4244DF90" w:rsidR="00975A3D" w:rsidRPr="001C2AEC" w:rsidRDefault="007D53F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B92D5C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B2102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61FBF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8F0943B" w14:textId="77777777" w:rsidR="00975A3D" w:rsidRDefault="009F022A" w:rsidP="00975A3D">
            <w:pPr>
              <w:rPr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SELF </w:t>
            </w:r>
            <w:r w:rsidR="00DC629C">
              <w:rPr>
                <w:b/>
                <w:color w:val="000000" w:themeColor="text1"/>
              </w:rPr>
              <w:t xml:space="preserve">AUTHORED: </w:t>
            </w:r>
            <w:r w:rsidR="00DC629C" w:rsidRPr="008530CE">
              <w:rPr>
                <w:bCs/>
                <w:color w:val="000000" w:themeColor="text1"/>
              </w:rPr>
              <w:t>Growing up in Adoption</w:t>
            </w:r>
          </w:p>
          <w:p w14:paraId="44985BF1" w14:textId="77777777" w:rsidR="005D3A63" w:rsidRDefault="005D3A63" w:rsidP="00975A3D">
            <w:pPr>
              <w:rPr>
                <w:b/>
                <w:bCs/>
                <w:color w:val="000000" w:themeColor="text1"/>
              </w:rPr>
            </w:pPr>
          </w:p>
          <w:p w14:paraId="7EB1013A" w14:textId="77777777" w:rsidR="005D3A63" w:rsidRDefault="005D3A63" w:rsidP="00975A3D">
            <w:pPr>
              <w:rPr>
                <w:b/>
                <w:bCs/>
                <w:color w:val="000000" w:themeColor="text1"/>
              </w:rPr>
            </w:pPr>
          </w:p>
          <w:p w14:paraId="660B40B0" w14:textId="240C15E7" w:rsidR="005D3A63" w:rsidRPr="001C2AEC" w:rsidRDefault="005D3A63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D7D97D2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B14B50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lastRenderedPageBreak/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47112B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0E82CE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108B9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8F032FE" w14:textId="3EA786A2" w:rsidR="005D3A63" w:rsidRPr="007935E3" w:rsidRDefault="00975A3D" w:rsidP="005D3A63">
            <w:pPr>
              <w:shd w:val="clear" w:color="auto" w:fill="FFFFFF"/>
              <w:rPr>
                <w:rFonts w:ascii="Arial" w:eastAsia="Times New Roman" w:hAnsi="Arial" w:cs="Arial"/>
                <w:bCs/>
                <w:color w:val="202124"/>
                <w:sz w:val="20"/>
                <w:szCs w:val="20"/>
                <w:lang w:val="en-NZ" w:eastAsia="en-NZ"/>
              </w:rPr>
            </w:pPr>
            <w:r w:rsidRPr="007935E3">
              <w:rPr>
                <w:bCs/>
                <w:color w:val="000000" w:themeColor="text1"/>
                <w:sz w:val="20"/>
                <w:szCs w:val="20"/>
              </w:rPr>
              <w:t>BLOGS</w:t>
            </w:r>
            <w:r w:rsidR="007935E3">
              <w:rPr>
                <w:bCs/>
                <w:color w:val="000000" w:themeColor="text1"/>
                <w:sz w:val="20"/>
                <w:szCs w:val="20"/>
              </w:rPr>
              <w:t xml:space="preserve"> : </w:t>
            </w:r>
            <w:r w:rsidR="005D3A63" w:rsidRPr="007935E3">
              <w:rPr>
                <w:rFonts w:ascii="Arial" w:eastAsia="Times New Roman" w:hAnsi="Arial" w:cs="Arial"/>
                <w:bCs/>
                <w:color w:val="202124"/>
                <w:sz w:val="20"/>
                <w:szCs w:val="20"/>
                <w:lang w:val="en-NZ" w:eastAsia="en-NZ"/>
              </w:rPr>
              <w:t>Adoptive Parents Blogs</w:t>
            </w:r>
          </w:p>
          <w:p w14:paraId="03C8E81F" w14:textId="21E10E7F" w:rsidR="00975A3D" w:rsidRPr="005D3A63" w:rsidRDefault="005D3A63" w:rsidP="005D3A63">
            <w:pPr>
              <w:rPr>
                <w:b/>
                <w:color w:val="000000" w:themeColor="text1"/>
                <w:sz w:val="20"/>
                <w:szCs w:val="20"/>
              </w:rPr>
            </w:pPr>
            <w:r w:rsidRPr="007935E3">
              <w:rPr>
                <w:rFonts w:ascii="Arial" w:eastAsia="Times New Roman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NZ" w:eastAsia="en-NZ"/>
              </w:rPr>
              <w:t>The Big Long Wait</w:t>
            </w:r>
            <w:r w:rsidRPr="005D3A63">
              <w:rPr>
                <w:rFonts w:ascii="Arial" w:eastAsia="Times New Roman" w:hAnsi="Arial" w:cs="Arial"/>
                <w:color w:val="202124"/>
                <w:sz w:val="20"/>
                <w:szCs w:val="20"/>
                <w:shd w:val="clear" w:color="auto" w:fill="FFFFFF"/>
                <w:lang w:val="en-NZ" w:eastAsia="en-NZ"/>
              </w:rPr>
              <w:t>, by an adoptive mom of two girls. Karen's Calling, which is a joint blog by an adoptive mom and her son's birth mother about their open adoption. Adoptive Black Mom, where one adoptive mom talks about her unique experience as an African-American adoptive parent.</w:t>
            </w:r>
          </w:p>
        </w:tc>
      </w:tr>
      <w:tr w:rsidR="00975A3D" w:rsidRPr="001C2AEC" w14:paraId="373CF853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63633B8" w14:textId="607263C9" w:rsidR="00975A3D" w:rsidRPr="001C2AEC" w:rsidRDefault="007D53F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Pune India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86B114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E82BF2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8EC771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72A1761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6BBF35D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90F4E3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B38411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825D0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AFE00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F3267A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14:paraId="059BD28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181D147" w14:textId="4794D9F9" w:rsidR="00975A3D" w:rsidRPr="001C2AEC" w:rsidRDefault="007D53F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Social Worker and Author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46459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EE99A6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D58A1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BD4CA82" w14:textId="77777777" w:rsidR="001C605A" w:rsidRPr="005306DC" w:rsidRDefault="001C605A" w:rsidP="005306DC">
            <w:r w:rsidRPr="005306DC">
              <w:t>NCFA's annual conference offers continuing education and high-caliber training to professionals from the adoption, social work, and child welfare communities who all share a common commitment to helping children thrive in nurturing, permanent families.</w:t>
            </w:r>
          </w:p>
          <w:p w14:paraId="6D69A215" w14:textId="77777777" w:rsidR="001C605A" w:rsidRPr="005306DC" w:rsidRDefault="001C605A" w:rsidP="005306DC">
            <w:r w:rsidRPr="005306DC">
              <w:t>The Conference gives you an opportunity to learn from experts, refine your application of best practices, network with fellow professionals, and be re-inspired for the important work that you do in your community, region, and the world.</w:t>
            </w:r>
          </w:p>
          <w:p w14:paraId="087BFD10" w14:textId="77777777" w:rsidR="001C605A" w:rsidRPr="005306DC" w:rsidRDefault="001C605A" w:rsidP="005306DC">
            <w:r w:rsidRPr="005306DC">
              <w:t>After two years of virtual conferences, we're excited to meet in person again this year!</w:t>
            </w:r>
          </w:p>
          <w:p w14:paraId="17A804FD" w14:textId="2515E745" w:rsidR="001C605A" w:rsidRPr="005306DC" w:rsidRDefault="001C605A" w:rsidP="005306DC">
            <w:r w:rsidRPr="005306DC">
              <w:t>Conference date and Venue: Indianapolis June 15th - 17th, 2022.</w:t>
            </w:r>
          </w:p>
          <w:p w14:paraId="351F1CAC" w14:textId="77777777" w:rsidR="00975A3D" w:rsidRPr="005306DC" w:rsidRDefault="00975A3D" w:rsidP="005306DC"/>
        </w:tc>
      </w:tr>
      <w:tr w:rsidR="00975A3D" w:rsidRPr="001C2AEC" w14:paraId="00E6B92D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5E8F31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4C295F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800120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5C1571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536C31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14:paraId="51AB49A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E5A9DD5" w14:textId="7E22424B" w:rsidR="00975A3D" w:rsidRPr="001C2AEC" w:rsidRDefault="007D53F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Semi Retired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565CDD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D96B8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A23F99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7FFE744D" w14:textId="77777777" w:rsidR="005D3A63" w:rsidRDefault="005D3A63" w:rsidP="005D3A63">
            <w:pPr>
              <w:shd w:val="clear" w:color="auto" w:fill="FFFFFF"/>
              <w:rPr>
                <w:rStyle w:val="Hyperlink"/>
                <w:rFonts w:ascii="Arial" w:hAnsi="Arial" w:cs="Arial"/>
                <w:color w:val="1A0DAB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color w:val="202124"/>
              </w:rPr>
              <w:fldChar w:fldCharType="begin"/>
            </w:r>
            <w:r>
              <w:rPr>
                <w:rFonts w:ascii="Arial" w:hAnsi="Arial" w:cs="Arial"/>
                <w:color w:val="202124"/>
              </w:rPr>
              <w:instrText xml:space="preserve"> HYPERLINK "https://www.cfo.org.nz/supporting-families" </w:instrText>
            </w:r>
            <w:r>
              <w:rPr>
                <w:rFonts w:ascii="Arial" w:hAnsi="Arial" w:cs="Arial"/>
                <w:color w:val="202124"/>
              </w:rPr>
              <w:fldChar w:fldCharType="separate"/>
            </w:r>
            <w:r>
              <w:rPr>
                <w:rFonts w:ascii="Arial" w:hAnsi="Arial" w:cs="Arial"/>
                <w:color w:val="1A0DAB"/>
              </w:rPr>
              <w:br/>
            </w:r>
          </w:p>
          <w:p w14:paraId="5FC0BD4F" w14:textId="77777777" w:rsidR="005D3A63" w:rsidRDefault="005D3A63" w:rsidP="005D3A63">
            <w:pPr>
              <w:pStyle w:val="Heading3"/>
              <w:shd w:val="clear" w:color="auto" w:fill="FFFFFF"/>
              <w:spacing w:after="45"/>
              <w:rPr>
                <w:b w:val="0"/>
                <w:sz w:val="30"/>
                <w:szCs w:val="30"/>
              </w:rPr>
            </w:pPr>
            <w:r>
              <w:rPr>
                <w:rFonts w:ascii="Arial" w:hAnsi="Arial" w:cs="Arial"/>
                <w:b w:val="0"/>
                <w:bCs/>
                <w:color w:val="1A0DAB"/>
                <w:sz w:val="30"/>
                <w:szCs w:val="30"/>
              </w:rPr>
              <w:t>Supporting Families - New Zealand Intercountry Adoption ...</w:t>
            </w:r>
          </w:p>
          <w:p w14:paraId="002B6BFA" w14:textId="77777777" w:rsidR="005D3A63" w:rsidRDefault="005D3A63" w:rsidP="005D3A63">
            <w:pPr>
              <w:shd w:val="clear" w:color="auto" w:fill="FFFFFF"/>
              <w:rPr>
                <w:rFonts w:ascii="Arial" w:hAnsi="Arial" w:cs="Arial"/>
                <w:color w:val="1A0DAB"/>
                <w:sz w:val="24"/>
                <w:szCs w:val="24"/>
              </w:rPr>
            </w:pPr>
            <w:r>
              <w:rPr>
                <w:rStyle w:val="HTMLCite"/>
                <w:rFonts w:ascii="Arial" w:hAnsi="Arial" w:cs="Arial"/>
                <w:i w:val="0"/>
                <w:iCs w:val="0"/>
                <w:color w:val="202124"/>
                <w:sz w:val="21"/>
                <w:szCs w:val="21"/>
              </w:rPr>
              <w:t>https://www.cfo.org.nz</w:t>
            </w:r>
            <w:r>
              <w:rPr>
                <w:rStyle w:val="dyjrff"/>
                <w:rFonts w:ascii="Arial" w:hAnsi="Arial" w:cs="Arial"/>
                <w:color w:val="5F6368"/>
                <w:sz w:val="21"/>
                <w:szCs w:val="21"/>
              </w:rPr>
              <w:t> › supporting-families</w:t>
            </w:r>
          </w:p>
          <w:p w14:paraId="1CD9F4FE" w14:textId="77777777" w:rsidR="005D3A63" w:rsidRDefault="005D3A63" w:rsidP="005D3A63">
            <w:pPr>
              <w:shd w:val="clear" w:color="auto" w:fill="FFFFFF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fldChar w:fldCharType="end"/>
            </w:r>
          </w:p>
          <w:p w14:paraId="012A5FD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0DFD901C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334FB9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lastRenderedPageBreak/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2A3803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57B24C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03E11B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839D71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14:paraId="3158BE80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38E429C" w14:textId="5DFBBD6F" w:rsidR="00975A3D" w:rsidRPr="001C2AEC" w:rsidRDefault="009C160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IIM Pavai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39E3C9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887C9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422AE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175700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0D0BA3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491002E" w14:textId="69571238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 w:rsidR="0066552A">
              <w:rPr>
                <w:b/>
                <w:noProof/>
                <w:color w:val="000000" w:themeColor="text1"/>
              </w:rPr>
              <w:t xml:space="preserve"> =  </w:t>
            </w:r>
            <w:r w:rsidR="009D3FC6">
              <w:rPr>
                <w:b/>
                <w:noProof/>
                <w:color w:val="000000" w:themeColor="text1"/>
              </w:rPr>
              <w:t>$60,000/-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C0A9B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F3BDCD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69444F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12703F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1285418D" w14:textId="77777777" w:rsidR="00560932" w:rsidRDefault="00560932" w:rsidP="00D4300C">
      <w:pPr>
        <w:rPr>
          <w:noProof/>
        </w:rPr>
        <w:sectPr w:rsidR="00560932" w:rsidSect="002451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1D308914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1F2AA" w14:textId="77777777" w:rsidR="00F7523B" w:rsidRDefault="00F7523B" w:rsidP="00D4300C">
      <w:r>
        <w:separator/>
      </w:r>
    </w:p>
  </w:endnote>
  <w:endnote w:type="continuationSeparator" w:id="0">
    <w:p w14:paraId="0D8431E2" w14:textId="77777777" w:rsidR="00F7523B" w:rsidRDefault="00F7523B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53B090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A96353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5CEF4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7B4B5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DB0C" w14:textId="77777777" w:rsidR="00F7523B" w:rsidRDefault="00F7523B" w:rsidP="00D4300C">
      <w:r>
        <w:separator/>
      </w:r>
    </w:p>
  </w:footnote>
  <w:footnote w:type="continuationSeparator" w:id="0">
    <w:p w14:paraId="095C93F8" w14:textId="77777777" w:rsidR="00F7523B" w:rsidRDefault="00F7523B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4D94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9E5A5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EA00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C4263"/>
    <w:rsid w:val="000D0112"/>
    <w:rsid w:val="000D5F7F"/>
    <w:rsid w:val="000E139B"/>
    <w:rsid w:val="000E7AF5"/>
    <w:rsid w:val="000F41C1"/>
    <w:rsid w:val="000F6F8D"/>
    <w:rsid w:val="00100837"/>
    <w:rsid w:val="00111C4F"/>
    <w:rsid w:val="00121D51"/>
    <w:rsid w:val="001419AD"/>
    <w:rsid w:val="00143451"/>
    <w:rsid w:val="001472A1"/>
    <w:rsid w:val="00177F32"/>
    <w:rsid w:val="001962A6"/>
    <w:rsid w:val="00197E3B"/>
    <w:rsid w:val="001C28B8"/>
    <w:rsid w:val="001C2AEC"/>
    <w:rsid w:val="001C605A"/>
    <w:rsid w:val="001C7751"/>
    <w:rsid w:val="001D1964"/>
    <w:rsid w:val="001D3FE9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2F4E87"/>
    <w:rsid w:val="00303C60"/>
    <w:rsid w:val="00311806"/>
    <w:rsid w:val="00341A03"/>
    <w:rsid w:val="00343CF7"/>
    <w:rsid w:val="0036274A"/>
    <w:rsid w:val="0036595F"/>
    <w:rsid w:val="003758D7"/>
    <w:rsid w:val="00376B04"/>
    <w:rsid w:val="003844BE"/>
    <w:rsid w:val="00391685"/>
    <w:rsid w:val="00394B8A"/>
    <w:rsid w:val="003A167F"/>
    <w:rsid w:val="003C25DB"/>
    <w:rsid w:val="003D28EE"/>
    <w:rsid w:val="003F787D"/>
    <w:rsid w:val="00422668"/>
    <w:rsid w:val="00434271"/>
    <w:rsid w:val="00436A1D"/>
    <w:rsid w:val="0045552B"/>
    <w:rsid w:val="004630AB"/>
    <w:rsid w:val="0047798C"/>
    <w:rsid w:val="00482909"/>
    <w:rsid w:val="00491059"/>
    <w:rsid w:val="00492BF1"/>
    <w:rsid w:val="00493BCE"/>
    <w:rsid w:val="004952F9"/>
    <w:rsid w:val="004B4C32"/>
    <w:rsid w:val="004B7B5C"/>
    <w:rsid w:val="004D59AF"/>
    <w:rsid w:val="004E7C78"/>
    <w:rsid w:val="00512412"/>
    <w:rsid w:val="005306DC"/>
    <w:rsid w:val="00531F82"/>
    <w:rsid w:val="00547183"/>
    <w:rsid w:val="00557C38"/>
    <w:rsid w:val="00560932"/>
    <w:rsid w:val="00571109"/>
    <w:rsid w:val="00584C26"/>
    <w:rsid w:val="00585DBD"/>
    <w:rsid w:val="00594E2A"/>
    <w:rsid w:val="005A2BD6"/>
    <w:rsid w:val="005B0B4C"/>
    <w:rsid w:val="005B1D94"/>
    <w:rsid w:val="005B2E0A"/>
    <w:rsid w:val="005B7C30"/>
    <w:rsid w:val="005C1013"/>
    <w:rsid w:val="005D3A63"/>
    <w:rsid w:val="005E2CD8"/>
    <w:rsid w:val="005F5ABE"/>
    <w:rsid w:val="00614981"/>
    <w:rsid w:val="00664193"/>
    <w:rsid w:val="0066552A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935E3"/>
    <w:rsid w:val="007A782A"/>
    <w:rsid w:val="007B7937"/>
    <w:rsid w:val="007D53F4"/>
    <w:rsid w:val="007E24AF"/>
    <w:rsid w:val="007E3CF1"/>
    <w:rsid w:val="007F08AA"/>
    <w:rsid w:val="0081690B"/>
    <w:rsid w:val="008264D4"/>
    <w:rsid w:val="00827F6D"/>
    <w:rsid w:val="008350B3"/>
    <w:rsid w:val="008530CE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467E9"/>
    <w:rsid w:val="00947A7E"/>
    <w:rsid w:val="00951F56"/>
    <w:rsid w:val="00975A3D"/>
    <w:rsid w:val="00976532"/>
    <w:rsid w:val="00982B8C"/>
    <w:rsid w:val="009920A2"/>
    <w:rsid w:val="009A73C4"/>
    <w:rsid w:val="009B70C8"/>
    <w:rsid w:val="009C160B"/>
    <w:rsid w:val="009C2E35"/>
    <w:rsid w:val="009C4A98"/>
    <w:rsid w:val="009C6682"/>
    <w:rsid w:val="009D3FC6"/>
    <w:rsid w:val="009E31FD"/>
    <w:rsid w:val="009E71D3"/>
    <w:rsid w:val="009F022A"/>
    <w:rsid w:val="009F028C"/>
    <w:rsid w:val="009F3C33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B34A2"/>
    <w:rsid w:val="00AE1A89"/>
    <w:rsid w:val="00AF3124"/>
    <w:rsid w:val="00B105A7"/>
    <w:rsid w:val="00B307B3"/>
    <w:rsid w:val="00B76B36"/>
    <w:rsid w:val="00B8500C"/>
    <w:rsid w:val="00B850F5"/>
    <w:rsid w:val="00BA1CA5"/>
    <w:rsid w:val="00BC38F6"/>
    <w:rsid w:val="00BC7F9D"/>
    <w:rsid w:val="00C05DED"/>
    <w:rsid w:val="00C12C0B"/>
    <w:rsid w:val="00C12D7D"/>
    <w:rsid w:val="00C270E8"/>
    <w:rsid w:val="00C425A7"/>
    <w:rsid w:val="00C479CE"/>
    <w:rsid w:val="00C60B0A"/>
    <w:rsid w:val="00C7176F"/>
    <w:rsid w:val="00C75002"/>
    <w:rsid w:val="00C92568"/>
    <w:rsid w:val="00C955A4"/>
    <w:rsid w:val="00CA2CD6"/>
    <w:rsid w:val="00CB0C9B"/>
    <w:rsid w:val="00CB3106"/>
    <w:rsid w:val="00CB4DF0"/>
    <w:rsid w:val="00CB7FA5"/>
    <w:rsid w:val="00CC26FF"/>
    <w:rsid w:val="00CD3675"/>
    <w:rsid w:val="00CD426A"/>
    <w:rsid w:val="00CD579B"/>
    <w:rsid w:val="00CE5966"/>
    <w:rsid w:val="00CE5AF8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B4FE4"/>
    <w:rsid w:val="00DC629C"/>
    <w:rsid w:val="00DC681D"/>
    <w:rsid w:val="00DE52C7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97002"/>
    <w:rsid w:val="00EA4242"/>
    <w:rsid w:val="00EB23F8"/>
    <w:rsid w:val="00ED2684"/>
    <w:rsid w:val="00EF654B"/>
    <w:rsid w:val="00F02134"/>
    <w:rsid w:val="00F125CA"/>
    <w:rsid w:val="00F45B8C"/>
    <w:rsid w:val="00F51467"/>
    <w:rsid w:val="00F60090"/>
    <w:rsid w:val="00F61C92"/>
    <w:rsid w:val="00F7523B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57F58E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character" w:styleId="Strong">
    <w:name w:val="Strong"/>
    <w:basedOn w:val="DefaultParagraphFont"/>
    <w:uiPriority w:val="22"/>
    <w:qFormat/>
    <w:rsid w:val="001C605A"/>
    <w:rPr>
      <w:b/>
      <w:bCs/>
    </w:rPr>
  </w:style>
  <w:style w:type="character" w:customStyle="1" w:styleId="hgkelc">
    <w:name w:val="hgkelc"/>
    <w:basedOn w:val="DefaultParagraphFont"/>
    <w:rsid w:val="005D3A63"/>
  </w:style>
  <w:style w:type="character" w:styleId="HTMLCite">
    <w:name w:val="HTML Cite"/>
    <w:basedOn w:val="DefaultParagraphFont"/>
    <w:uiPriority w:val="99"/>
    <w:semiHidden/>
    <w:unhideWhenUsed/>
    <w:rsid w:val="005D3A63"/>
    <w:rPr>
      <w:i/>
      <w:iCs/>
    </w:rPr>
  </w:style>
  <w:style w:type="character" w:customStyle="1" w:styleId="dyjrff">
    <w:name w:val="dyjrff"/>
    <w:basedOn w:val="DefaultParagraphFont"/>
    <w:rsid w:val="005D3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1242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Fera DiVinci</cp:lastModifiedBy>
  <cp:revision>45</cp:revision>
  <cp:lastPrinted>2018-04-15T17:50:00Z</cp:lastPrinted>
  <dcterms:created xsi:type="dcterms:W3CDTF">2022-03-01T02:35:00Z</dcterms:created>
  <dcterms:modified xsi:type="dcterms:W3CDTF">2022-03-09T00:54:00Z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