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PESTAÑA “DATOS ÚTILES”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 144.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Línea de asesoramiento y contención para víctimas de violencia de género. Gratuita, confidencial, las 24 horas, todos los días.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 102.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Denuncia casos de vulneración de derechos de niños, niñas y adolescentes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TELÉFONO DE EMERGENCIA.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Línea telefónica para receptar casos que requieran asistencia ante situación de inclemencia climática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VECINALES.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Servicio de asesoramiento para instituciones intermedias y de la sociedad civil.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Of. Provincial de GROOMING.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Denuncia acoso o extorsión a través de las redes sociales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80zPJHpaBNH8riODZUrJsfuqw==">AMUW2mVxitqrYTgrcPUlRv/k/jlaInMzF29kryIs4EnhckM+t7cFcBqsZyl6CMugiMbkDqiArN3J4MHJaCWLxhxFJCSNvQHR11Fs7d0A5kQC6R/Zt2Tq9kk6gIfhVHyJhj7lCi/wUbM+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2019-04-04T14:34:00Z</dcterms:created>
  <dc:creator>Prensa</dc:creator>
</cp:coreProperties>
</file>