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5DB" w:rsidRDefault="00A015DB" w:rsidP="00A015DB">
      <w:pPr>
        <w:pStyle w:val="Title"/>
        <w:jc w:val="center"/>
      </w:pPr>
      <w:r>
        <w:rPr>
          <w:noProof/>
          <w:lang w:eastAsia="en-GB"/>
        </w:rPr>
        <w:drawing>
          <wp:inline distT="0" distB="0" distL="0" distR="0">
            <wp:extent cx="1371913" cy="6732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cr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913" cy="67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noProof/>
          <w:lang w:eastAsia="en-GB"/>
        </w:rPr>
        <w:drawing>
          <wp:inline distT="0" distB="0" distL="0" distR="0">
            <wp:extent cx="1815873" cy="7492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h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873" cy="7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30C" w:rsidRPr="00FA030C" w:rsidRDefault="00FA030C" w:rsidP="00FA030C"/>
    <w:p w:rsidR="0020710F" w:rsidRDefault="00F86A43" w:rsidP="00A015DB">
      <w:pPr>
        <w:pStyle w:val="Title"/>
      </w:pPr>
      <w:r>
        <w:t xml:space="preserve">Patient and </w:t>
      </w:r>
      <w:r w:rsidR="0020710F">
        <w:t xml:space="preserve">Public Involvement Payment </w:t>
      </w:r>
    </w:p>
    <w:p w:rsidR="00EA55A3" w:rsidRDefault="0020710F" w:rsidP="00A015DB">
      <w:pPr>
        <w:pStyle w:val="Subtitle"/>
        <w:rPr>
          <w:rStyle w:val="SubtleEmphasis"/>
        </w:rPr>
      </w:pPr>
      <w:r w:rsidRPr="00A015DB">
        <w:rPr>
          <w:rStyle w:val="SubtleEmphasis"/>
        </w:rPr>
        <w:t>SPCR Guidance document</w:t>
      </w:r>
    </w:p>
    <w:p w:rsidR="00597E83" w:rsidRPr="00597E83" w:rsidRDefault="00597E83" w:rsidP="00597E83"/>
    <w:p w:rsidR="00F86A43" w:rsidRPr="00A85028" w:rsidRDefault="00F86A43" w:rsidP="00A015DB">
      <w:pPr>
        <w:rPr>
          <w:sz w:val="10"/>
          <w:szCs w:val="10"/>
        </w:rPr>
      </w:pPr>
    </w:p>
    <w:p w:rsidR="00F2695B" w:rsidRPr="000B28AD" w:rsidRDefault="00F2695B" w:rsidP="00A015DB">
      <w:r>
        <w:t>This document provides</w:t>
      </w:r>
      <w:r w:rsidR="00A016B4">
        <w:t xml:space="preserve"> brief</w:t>
      </w:r>
      <w:r>
        <w:t xml:space="preserve"> information and guidance for </w:t>
      </w:r>
      <w:r w:rsidRPr="001908A5">
        <w:rPr>
          <w:i/>
        </w:rPr>
        <w:t>researchers</w:t>
      </w:r>
      <w:r>
        <w:t xml:space="preserve"> about costing for Patient and Public Involvement (PPI) contributor fees.</w:t>
      </w:r>
      <w:r w:rsidR="00A016B4">
        <w:t xml:space="preserve"> For more details or information please see your departmental PPI Guide, or speak to your local </w:t>
      </w:r>
      <w:hyperlink r:id="rId9" w:history="1">
        <w:r w:rsidR="00A016B4" w:rsidRPr="00FF7A6A">
          <w:rPr>
            <w:rStyle w:val="Hyperlink"/>
          </w:rPr>
          <w:t>PPI coordinator</w:t>
        </w:r>
      </w:hyperlink>
      <w:r w:rsidR="00A016B4">
        <w:t>.</w:t>
      </w:r>
    </w:p>
    <w:p w:rsidR="00F86A43" w:rsidRDefault="00F86A43" w:rsidP="00A015DB">
      <w:pPr>
        <w:pStyle w:val="Heading1"/>
      </w:pPr>
      <w:r>
        <w:t>What are the fees?</w:t>
      </w:r>
    </w:p>
    <w:p w:rsidR="00F2695B" w:rsidRDefault="00F2695B" w:rsidP="00430482">
      <w:pPr>
        <w:pStyle w:val="ListParagraph"/>
        <w:numPr>
          <w:ilvl w:val="0"/>
          <w:numId w:val="6"/>
        </w:numPr>
      </w:pPr>
      <w:r w:rsidRPr="000B28AD">
        <w:t xml:space="preserve">Best practice </w:t>
      </w:r>
      <w:r w:rsidR="003B6A3A">
        <w:t>for</w:t>
      </w:r>
      <w:r w:rsidRPr="000B28AD">
        <w:t xml:space="preserve"> </w:t>
      </w:r>
      <w:r w:rsidR="003B6A3A">
        <w:t xml:space="preserve">PPI </w:t>
      </w:r>
      <w:r>
        <w:t xml:space="preserve">activities </w:t>
      </w:r>
      <w:r w:rsidRPr="000B28AD">
        <w:t xml:space="preserve">is to offer </w:t>
      </w:r>
      <w:r w:rsidR="00213E3F">
        <w:t xml:space="preserve">a </w:t>
      </w:r>
      <w:r w:rsidR="003B6A3A">
        <w:t xml:space="preserve">contributor </w:t>
      </w:r>
      <w:r w:rsidRPr="000B28AD">
        <w:t xml:space="preserve">payment </w:t>
      </w:r>
      <w:r w:rsidR="003B6A3A">
        <w:t xml:space="preserve">or </w:t>
      </w:r>
      <w:r w:rsidRPr="000B28AD">
        <w:t>‘</w:t>
      </w:r>
      <w:r w:rsidR="00213E3F">
        <w:t>involvement</w:t>
      </w:r>
      <w:r w:rsidRPr="000B28AD">
        <w:t xml:space="preserve"> fee’, as well as </w:t>
      </w:r>
      <w:r w:rsidRPr="00803CDE">
        <w:t>reasonable</w:t>
      </w:r>
      <w:r w:rsidRPr="000B28AD">
        <w:t xml:space="preserve"> travel expenses</w:t>
      </w:r>
      <w:r>
        <w:t>.</w:t>
      </w:r>
    </w:p>
    <w:p w:rsidR="00F2695B" w:rsidRPr="00A85028" w:rsidRDefault="00F2695B" w:rsidP="00A015DB">
      <w:pPr>
        <w:rPr>
          <w:sz w:val="10"/>
          <w:szCs w:val="10"/>
        </w:rPr>
      </w:pPr>
    </w:p>
    <w:p w:rsidR="00FE553B" w:rsidRDefault="00F86A43" w:rsidP="00A015DB">
      <w:pPr>
        <w:pStyle w:val="ListParagraph"/>
        <w:numPr>
          <w:ilvl w:val="0"/>
          <w:numId w:val="6"/>
        </w:numPr>
      </w:pPr>
      <w:r>
        <w:t xml:space="preserve">Fees are ‘honorarium’ </w:t>
      </w:r>
      <w:r w:rsidRPr="003B6A3A">
        <w:t>payments</w:t>
      </w:r>
      <w:r w:rsidR="003B6A3A" w:rsidRPr="003B6A3A">
        <w:rPr>
          <w:iCs/>
        </w:rPr>
        <w:t>, a</w:t>
      </w:r>
      <w:r w:rsidR="00AD7F23">
        <w:rPr>
          <w:iCs/>
        </w:rPr>
        <w:t>nd</w:t>
      </w:r>
      <w:r w:rsidRPr="00430482">
        <w:rPr>
          <w:i/>
          <w:iCs/>
        </w:rPr>
        <w:t xml:space="preserve"> </w:t>
      </w:r>
      <w:r>
        <w:t>are a form of recognition offered for contribution</w:t>
      </w:r>
      <w:r w:rsidR="00AD7F23">
        <w:t>s</w:t>
      </w:r>
      <w:r>
        <w:t xml:space="preserve"> made</w:t>
      </w:r>
      <w:r w:rsidR="00A015DB">
        <w:t xml:space="preserve"> to each activity</w:t>
      </w:r>
      <w:r>
        <w:t xml:space="preserve">. This does not mean that </w:t>
      </w:r>
      <w:r w:rsidR="00A015DB">
        <w:t>contributors</w:t>
      </w:r>
      <w:r>
        <w:t xml:space="preserve"> have a contract of employment with your department or organisation. </w:t>
      </w:r>
    </w:p>
    <w:p w:rsidR="000B28AD" w:rsidRPr="0057616C" w:rsidRDefault="000B28AD" w:rsidP="0057616C">
      <w:pPr>
        <w:pStyle w:val="Heading1"/>
      </w:pPr>
      <w:r>
        <w:t>Who should be paid fees?</w:t>
      </w:r>
    </w:p>
    <w:p w:rsidR="000B28AD" w:rsidRDefault="00C71FAC" w:rsidP="00A015DB">
      <w:r>
        <w:t>P</w:t>
      </w:r>
      <w:r w:rsidR="000B28AD">
        <w:t xml:space="preserve">ublic contributors who: </w:t>
      </w:r>
    </w:p>
    <w:p w:rsidR="000B28AD" w:rsidRDefault="000B28AD" w:rsidP="00A015DB">
      <w:pPr>
        <w:pStyle w:val="ListParagraph"/>
        <w:numPr>
          <w:ilvl w:val="0"/>
          <w:numId w:val="1"/>
        </w:numPr>
      </w:pPr>
      <w:r>
        <w:t xml:space="preserve">are a member of the public </w:t>
      </w:r>
      <w:r w:rsidRPr="00AD7F23">
        <w:rPr>
          <w:sz w:val="20"/>
          <w:szCs w:val="20"/>
        </w:rPr>
        <w:t>(includes patients, potential patients, carers and people who use health and social care services as well as people from organisations that represent people who use services)</w:t>
      </w:r>
      <w:r>
        <w:t xml:space="preserve"> </w:t>
      </w:r>
      <w:r w:rsidRPr="000B28AD">
        <w:rPr>
          <w:b/>
          <w:bCs/>
        </w:rPr>
        <w:t xml:space="preserve">and </w:t>
      </w:r>
    </w:p>
    <w:p w:rsidR="000B28AD" w:rsidRPr="000B28AD" w:rsidRDefault="000B28AD" w:rsidP="00A015DB">
      <w:pPr>
        <w:pStyle w:val="ListParagraph"/>
        <w:numPr>
          <w:ilvl w:val="0"/>
          <w:numId w:val="1"/>
        </w:numPr>
      </w:pPr>
      <w:r>
        <w:t xml:space="preserve">are being asked to provide a public perspective </w:t>
      </w:r>
      <w:r w:rsidRPr="000B28AD">
        <w:rPr>
          <w:b/>
          <w:bCs/>
        </w:rPr>
        <w:t xml:space="preserve">and </w:t>
      </w:r>
    </w:p>
    <w:p w:rsidR="00FE6A32" w:rsidRDefault="000B28AD" w:rsidP="00A015DB">
      <w:pPr>
        <w:pStyle w:val="ListParagraph"/>
        <w:numPr>
          <w:ilvl w:val="0"/>
          <w:numId w:val="1"/>
        </w:numPr>
      </w:pPr>
      <w:r>
        <w:t>are not in receipt of a full time salary from public funds</w:t>
      </w:r>
      <w:r w:rsidR="00FE6A32">
        <w:t>*</w:t>
      </w:r>
    </w:p>
    <w:p w:rsidR="0005302C" w:rsidRDefault="0005302C" w:rsidP="00430482">
      <w:pPr>
        <w:pStyle w:val="Heading1"/>
      </w:pPr>
      <w:r>
        <w:t>Note about Benefit recipients:</w:t>
      </w:r>
    </w:p>
    <w:p w:rsidR="00CD341D" w:rsidRDefault="00FE6A32" w:rsidP="00430482">
      <w:pPr>
        <w:pStyle w:val="ListParagraph"/>
        <w:numPr>
          <w:ilvl w:val="0"/>
          <w:numId w:val="7"/>
        </w:numPr>
      </w:pPr>
      <w:r w:rsidRPr="00430482">
        <w:t>Contributors should</w:t>
      </w:r>
      <w:r>
        <w:t xml:space="preserve"> be made aware that accepting payment of fees may affect any benefits they currently receive. You are </w:t>
      </w:r>
      <w:r w:rsidRPr="00213E3F">
        <w:rPr>
          <w:i/>
        </w:rPr>
        <w:t>not</w:t>
      </w:r>
      <w:r>
        <w:t xml:space="preserve"> expected to be a source of </w:t>
      </w:r>
      <w:r w:rsidRPr="00FE6A32">
        <w:t>advice</w:t>
      </w:r>
      <w:r w:rsidR="00597E83">
        <w:t xml:space="preserve"> about </w:t>
      </w:r>
      <w:r>
        <w:t xml:space="preserve">this potential issue. </w:t>
      </w:r>
      <w:r w:rsidR="00597E83">
        <w:t>Read m</w:t>
      </w:r>
      <w:r w:rsidR="00C71FAC">
        <w:t>ore advice here</w:t>
      </w:r>
      <w:r>
        <w:t xml:space="preserve">: </w:t>
      </w:r>
      <w:hyperlink r:id="rId10" w:history="1">
        <w:r w:rsidR="00CD341D" w:rsidRPr="00AB1B08">
          <w:rPr>
            <w:rStyle w:val="Hyperlink"/>
          </w:rPr>
          <w:t>http://www.invo.org.uk/benefits-advice-service-for-involvement-for-nihr-organisations/</w:t>
        </w:r>
      </w:hyperlink>
      <w:r w:rsidR="00CD341D">
        <w:t xml:space="preserve"> </w:t>
      </w:r>
    </w:p>
    <w:p w:rsidR="00FE6A32" w:rsidRDefault="00213E3F" w:rsidP="00430482">
      <w:pPr>
        <w:pStyle w:val="ListParagraph"/>
        <w:numPr>
          <w:ilvl w:val="0"/>
          <w:numId w:val="7"/>
        </w:numPr>
      </w:pPr>
      <w:r>
        <w:t>They can</w:t>
      </w:r>
      <w:r w:rsidR="00CD341D">
        <w:t xml:space="preserve"> contact </w:t>
      </w:r>
      <w:r w:rsidR="00CD341D" w:rsidRPr="00902394">
        <w:t xml:space="preserve">INVOLVE on </w:t>
      </w:r>
      <w:hyperlink r:id="rId11" w:history="1">
        <w:r w:rsidR="00CD341D" w:rsidRPr="00AB1B08">
          <w:rPr>
            <w:rStyle w:val="Hyperlink"/>
          </w:rPr>
          <w:t>involve@nihr.ac.uk</w:t>
        </w:r>
      </w:hyperlink>
      <w:r w:rsidR="00CD341D">
        <w:t xml:space="preserve">  / 02380 595628</w:t>
      </w:r>
    </w:p>
    <w:p w:rsidR="00AD7F23" w:rsidRDefault="00AD7F23" w:rsidP="00AD7F23"/>
    <w:p w:rsidR="00AD7F23" w:rsidRDefault="00AD7F23" w:rsidP="00AD7F23"/>
    <w:p w:rsidR="00CD341D" w:rsidRDefault="00CD341D" w:rsidP="00AD7F23"/>
    <w:p w:rsidR="00AD7F23" w:rsidRPr="00C71FAC" w:rsidRDefault="00AD7F23" w:rsidP="00AD7F23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Pr="00C71FAC">
        <w:rPr>
          <w:sz w:val="16"/>
          <w:szCs w:val="16"/>
        </w:rPr>
        <w:t xml:space="preserve">If a contributor does work full time in the public sector they may still be entitled to payment of a fee provided that you confirm: </w:t>
      </w:r>
    </w:p>
    <w:p w:rsidR="00AD7F23" w:rsidRPr="00C71FAC" w:rsidRDefault="00AD7F23" w:rsidP="00AD7F23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C71FAC">
        <w:rPr>
          <w:sz w:val="16"/>
          <w:szCs w:val="16"/>
        </w:rPr>
        <w:t xml:space="preserve">their paid employment is totally unrelated to the activity being undertaken </w:t>
      </w:r>
      <w:r w:rsidRPr="00C71FAC">
        <w:rPr>
          <w:b/>
          <w:bCs/>
          <w:sz w:val="16"/>
          <w:szCs w:val="16"/>
        </w:rPr>
        <w:t xml:space="preserve">and </w:t>
      </w:r>
    </w:p>
    <w:p w:rsidR="00AD7F23" w:rsidRPr="00430482" w:rsidRDefault="00AD7F23" w:rsidP="00AD7F23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C71FAC">
        <w:rPr>
          <w:sz w:val="16"/>
          <w:szCs w:val="16"/>
        </w:rPr>
        <w:t>they intend to undertake the activity in their free time.</w:t>
      </w:r>
    </w:p>
    <w:p w:rsidR="00FE6A32" w:rsidRDefault="007D66E9" w:rsidP="00A015DB">
      <w:pPr>
        <w:pStyle w:val="Heading1"/>
      </w:pPr>
      <w:r>
        <w:lastRenderedPageBreak/>
        <w:t>What f</w:t>
      </w:r>
      <w:r w:rsidR="00FE6A32">
        <w:t>ees should be paid?</w:t>
      </w:r>
    </w:p>
    <w:p w:rsidR="00B874A7" w:rsidRDefault="00FE6A32" w:rsidP="00430482">
      <w:pPr>
        <w:pStyle w:val="ListParagraph"/>
        <w:numPr>
          <w:ilvl w:val="0"/>
          <w:numId w:val="7"/>
        </w:numPr>
        <w:spacing w:after="240"/>
      </w:pPr>
      <w:r w:rsidRPr="00143688">
        <w:t>The SPCR uses the</w:t>
      </w:r>
      <w:r w:rsidR="00C71FAC">
        <w:t xml:space="preserve"> payment</w:t>
      </w:r>
      <w:r w:rsidRPr="00143688">
        <w:t xml:space="preserve"> rates set by the NIHR Central Commissioning Facility (CCF)</w:t>
      </w:r>
      <w:r w:rsidR="00C71FAC">
        <w:t xml:space="preserve"> PPI Payment Guide</w:t>
      </w:r>
      <w:r w:rsidRPr="00143688">
        <w:t xml:space="preserve">. </w:t>
      </w:r>
      <w:r w:rsidR="008445B7">
        <w:t>T</w:t>
      </w:r>
      <w:r w:rsidR="00143688" w:rsidRPr="00143688">
        <w:t>he most relevant have been listed below.</w:t>
      </w:r>
    </w:p>
    <w:p w:rsidR="00430482" w:rsidRPr="0057616C" w:rsidRDefault="00430482" w:rsidP="00430482">
      <w:pPr>
        <w:pStyle w:val="ListParagraph"/>
        <w:spacing w:after="240"/>
        <w:rPr>
          <w:sz w:val="22"/>
          <w:szCs w:val="22"/>
        </w:rPr>
      </w:pPr>
    </w:p>
    <w:p w:rsidR="00C71FAC" w:rsidRDefault="00143688" w:rsidP="00A015DB">
      <w:pPr>
        <w:pStyle w:val="ListParagraph"/>
        <w:numPr>
          <w:ilvl w:val="0"/>
          <w:numId w:val="7"/>
        </w:numPr>
      </w:pPr>
      <w:r w:rsidRPr="00143688">
        <w:t xml:space="preserve">The rates reflect differences in the </w:t>
      </w:r>
      <w:r w:rsidRPr="008445B7">
        <w:rPr>
          <w:i/>
        </w:rPr>
        <w:t>volume</w:t>
      </w:r>
      <w:r w:rsidRPr="00143688">
        <w:t xml:space="preserve"> and </w:t>
      </w:r>
      <w:r w:rsidRPr="008445B7">
        <w:rPr>
          <w:i/>
        </w:rPr>
        <w:t>nature</w:t>
      </w:r>
      <w:r w:rsidRPr="00143688">
        <w:t xml:space="preserve"> of activities required before, during and after a meeting. Each</w:t>
      </w:r>
      <w:r w:rsidR="008445B7">
        <w:t xml:space="preserve"> rate </w:t>
      </w:r>
      <w:r w:rsidRPr="00143688">
        <w:t>covers pre</w:t>
      </w:r>
      <w:r w:rsidR="008445B7">
        <w:t>paration for, attendance at</w:t>
      </w:r>
      <w:r w:rsidRPr="00143688">
        <w:t xml:space="preserve"> meetings</w:t>
      </w:r>
      <w:r w:rsidR="00C71FAC">
        <w:t>, and any post-activity feedback</w:t>
      </w:r>
      <w:r w:rsidRPr="00143688">
        <w:t xml:space="preserve">. </w:t>
      </w:r>
    </w:p>
    <w:p w:rsidR="00430482" w:rsidRPr="0057616C" w:rsidRDefault="00430482" w:rsidP="00430482">
      <w:pPr>
        <w:pStyle w:val="ListParagraph"/>
        <w:rPr>
          <w:sz w:val="22"/>
          <w:szCs w:val="22"/>
        </w:rPr>
      </w:pPr>
    </w:p>
    <w:p w:rsidR="00143688" w:rsidRDefault="00213E3F" w:rsidP="00A015DB">
      <w:pPr>
        <w:pStyle w:val="ListParagraph"/>
        <w:numPr>
          <w:ilvl w:val="0"/>
          <w:numId w:val="7"/>
        </w:numPr>
      </w:pPr>
      <w:r>
        <w:t>Involvement</w:t>
      </w:r>
      <w:r w:rsidR="00DB4143">
        <w:t xml:space="preserve"> fees are a </w:t>
      </w:r>
      <w:r w:rsidR="00DB4143" w:rsidRPr="00213E3F">
        <w:rPr>
          <w:i/>
        </w:rPr>
        <w:t>fixed</w:t>
      </w:r>
      <w:r w:rsidR="00DB4143">
        <w:t xml:space="preserve"> ‘honorarium’ payments for specific activities, and </w:t>
      </w:r>
      <w:r w:rsidR="00DB4143" w:rsidRPr="00213E3F">
        <w:rPr>
          <w:i/>
        </w:rPr>
        <w:t>not</w:t>
      </w:r>
      <w:r w:rsidR="0057616C">
        <w:t xml:space="preserve"> an </w:t>
      </w:r>
      <w:r w:rsidR="00DB4143">
        <w:t>hourly rate</w:t>
      </w:r>
      <w:r w:rsidR="009B21F5">
        <w:t xml:space="preserve">. Each preparatory activity will likely take individuals </w:t>
      </w:r>
      <w:r w:rsidR="0057616C">
        <w:t>varying</w:t>
      </w:r>
      <w:r w:rsidR="009B21F5">
        <w:t xml:space="preserve"> amounts of time, this should not be costed for on an individual basis.</w:t>
      </w:r>
    </w:p>
    <w:p w:rsidR="00A85028" w:rsidRPr="0057616C" w:rsidRDefault="00A85028" w:rsidP="00A85028">
      <w:pPr>
        <w:pStyle w:val="ListParagraph"/>
        <w:rPr>
          <w:sz w:val="22"/>
          <w:szCs w:val="22"/>
        </w:rPr>
      </w:pPr>
    </w:p>
    <w:p w:rsidR="00A85028" w:rsidRDefault="00A85028" w:rsidP="0057616C">
      <w:pPr>
        <w:pStyle w:val="ListParagraph"/>
        <w:numPr>
          <w:ilvl w:val="0"/>
          <w:numId w:val="7"/>
        </w:numPr>
      </w:pPr>
      <w:r>
        <w:t xml:space="preserve">You can use the INVOLVE cost calculator to </w:t>
      </w:r>
      <w:r w:rsidRPr="00A85028">
        <w:t>work</w:t>
      </w:r>
      <w:r>
        <w:t xml:space="preserve"> out</w:t>
      </w:r>
      <w:r w:rsidRPr="00A85028">
        <w:t xml:space="preserve"> the actual costs of involving people in your study.</w:t>
      </w:r>
      <w:r w:rsidR="0057616C">
        <w:t xml:space="preserve"> </w:t>
      </w:r>
      <w:hyperlink r:id="rId12" w:history="1">
        <w:r w:rsidR="0057616C" w:rsidRPr="00AB1B08">
          <w:rPr>
            <w:rStyle w:val="Hyperlink"/>
          </w:rPr>
          <w:t>http://www.invo.org.uk/resource-centre/payment-and-recognition-for-public-involvement/involvement-cost-calculator/</w:t>
        </w:r>
      </w:hyperlink>
      <w:r w:rsidR="0057616C">
        <w:t xml:space="preserve"> </w:t>
      </w:r>
    </w:p>
    <w:p w:rsidR="0057616C" w:rsidRDefault="0057616C" w:rsidP="0057616C"/>
    <w:p w:rsidR="00430482" w:rsidRPr="00430482" w:rsidRDefault="00430482" w:rsidP="00430482">
      <w:pPr>
        <w:rPr>
          <w:sz w:val="16"/>
          <w:szCs w:val="16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7407"/>
      </w:tblGrid>
      <w:tr w:rsidR="00143688" w:rsidRPr="00143688" w:rsidTr="00A016B4">
        <w:trPr>
          <w:trHeight w:val="112"/>
        </w:trPr>
        <w:tc>
          <w:tcPr>
            <w:tcW w:w="1663" w:type="dxa"/>
            <w:shd w:val="clear" w:color="auto" w:fill="90C226" w:themeFill="accent1"/>
          </w:tcPr>
          <w:p w:rsidR="00143688" w:rsidRPr="00A016B4" w:rsidRDefault="00143688" w:rsidP="00407C95">
            <w:pPr>
              <w:jc w:val="center"/>
              <w:rPr>
                <w:b/>
                <w:sz w:val="28"/>
                <w:szCs w:val="28"/>
              </w:rPr>
            </w:pPr>
            <w:r w:rsidRPr="00A016B4">
              <w:rPr>
                <w:b/>
                <w:sz w:val="28"/>
                <w:szCs w:val="28"/>
              </w:rPr>
              <w:t>Fee</w:t>
            </w:r>
          </w:p>
        </w:tc>
        <w:tc>
          <w:tcPr>
            <w:tcW w:w="7407" w:type="dxa"/>
            <w:shd w:val="clear" w:color="auto" w:fill="90C226" w:themeFill="accent1"/>
          </w:tcPr>
          <w:p w:rsidR="00143688" w:rsidRPr="00A016B4" w:rsidRDefault="00143688" w:rsidP="00407C95">
            <w:pPr>
              <w:jc w:val="center"/>
              <w:rPr>
                <w:b/>
                <w:sz w:val="28"/>
                <w:szCs w:val="28"/>
              </w:rPr>
            </w:pPr>
            <w:r w:rsidRPr="00A016B4">
              <w:rPr>
                <w:b/>
                <w:sz w:val="28"/>
                <w:szCs w:val="28"/>
              </w:rPr>
              <w:t>Description</w:t>
            </w:r>
          </w:p>
        </w:tc>
      </w:tr>
      <w:tr w:rsidR="00143688" w:rsidRPr="00143688" w:rsidTr="00A016B4">
        <w:trPr>
          <w:trHeight w:val="534"/>
        </w:trPr>
        <w:tc>
          <w:tcPr>
            <w:tcW w:w="1663" w:type="dxa"/>
            <w:shd w:val="clear" w:color="auto" w:fill="90C226" w:themeFill="accent1"/>
          </w:tcPr>
          <w:p w:rsidR="00143688" w:rsidRPr="00A016B4" w:rsidRDefault="00143688" w:rsidP="00407C95">
            <w:pPr>
              <w:jc w:val="center"/>
              <w:rPr>
                <w:b/>
              </w:rPr>
            </w:pPr>
            <w:bookmarkStart w:id="0" w:name="_GoBack" w:colFirst="1" w:colLast="1"/>
            <w:r w:rsidRPr="00A016B4">
              <w:rPr>
                <w:b/>
              </w:rPr>
              <w:t>£25</w:t>
            </w:r>
          </w:p>
        </w:tc>
        <w:tc>
          <w:tcPr>
            <w:tcW w:w="7407" w:type="dxa"/>
          </w:tcPr>
          <w:p w:rsidR="00143688" w:rsidRPr="00143688" w:rsidRDefault="00143688" w:rsidP="00A015DB">
            <w:r w:rsidRPr="00143688">
              <w:t xml:space="preserve">For involvement in a task or activity requiring little or no preparation and which equates to </w:t>
            </w:r>
            <w:r w:rsidRPr="00A015DB">
              <w:t>approximately</w:t>
            </w:r>
            <w:r w:rsidRPr="00143688">
              <w:t xml:space="preserve"> one hour of activity or less. </w:t>
            </w:r>
          </w:p>
          <w:p w:rsidR="00143688" w:rsidRPr="00143688" w:rsidRDefault="00143688" w:rsidP="00A015DB">
            <w:pPr>
              <w:pStyle w:val="ListParagraph"/>
              <w:numPr>
                <w:ilvl w:val="0"/>
                <w:numId w:val="5"/>
              </w:numPr>
            </w:pPr>
            <w:r w:rsidRPr="00143688">
              <w:t>For example, participating in a teleconference</w:t>
            </w:r>
            <w:r>
              <w:t xml:space="preserve"> or advisory group,</w:t>
            </w:r>
            <w:r w:rsidRPr="00143688">
              <w:t xml:space="preserve"> or reviewing a short document</w:t>
            </w:r>
            <w:r>
              <w:t>/lay summary.</w:t>
            </w:r>
          </w:p>
        </w:tc>
      </w:tr>
      <w:tr w:rsidR="00143688" w:rsidRPr="00143688" w:rsidTr="00A016B4">
        <w:trPr>
          <w:trHeight w:val="534"/>
        </w:trPr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C226" w:themeFill="accent1"/>
          </w:tcPr>
          <w:p w:rsidR="00143688" w:rsidRPr="00A016B4" w:rsidRDefault="00143688" w:rsidP="00407C95">
            <w:pPr>
              <w:jc w:val="center"/>
              <w:rPr>
                <w:b/>
              </w:rPr>
            </w:pPr>
            <w:r w:rsidRPr="00A016B4">
              <w:rPr>
                <w:b/>
              </w:rPr>
              <w:t>£50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88" w:rsidRPr="00143688" w:rsidRDefault="00143688" w:rsidP="00A015DB">
            <w:r w:rsidRPr="00143688">
              <w:t xml:space="preserve">For involvement in a task or activity likely to require some preparation and which equates to approximately two hours of activity. </w:t>
            </w:r>
          </w:p>
          <w:p w:rsidR="00143688" w:rsidRPr="00143688" w:rsidRDefault="00143688" w:rsidP="00A015DB">
            <w:pPr>
              <w:pStyle w:val="ListParagraph"/>
              <w:numPr>
                <w:ilvl w:val="0"/>
                <w:numId w:val="5"/>
              </w:numPr>
            </w:pPr>
            <w:r w:rsidRPr="00143688">
              <w:t>For example, a teleconference</w:t>
            </w:r>
            <w:r>
              <w:t xml:space="preserve"> or</w:t>
            </w:r>
            <w:r w:rsidRPr="00143688">
              <w:t xml:space="preserve"> </w:t>
            </w:r>
            <w:r>
              <w:t>advisory group</w:t>
            </w:r>
            <w:r w:rsidRPr="00143688">
              <w:t xml:space="preserve"> with related papers to read or reviewing a few short documents. </w:t>
            </w:r>
          </w:p>
        </w:tc>
      </w:tr>
      <w:tr w:rsidR="00143688" w:rsidRPr="00143688" w:rsidTr="00A016B4">
        <w:trPr>
          <w:trHeight w:val="534"/>
        </w:trPr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C226" w:themeFill="accent1"/>
          </w:tcPr>
          <w:p w:rsidR="00143688" w:rsidRPr="00A016B4" w:rsidRDefault="00143688" w:rsidP="00407C95">
            <w:pPr>
              <w:jc w:val="center"/>
              <w:rPr>
                <w:b/>
              </w:rPr>
            </w:pPr>
            <w:r w:rsidRPr="00A016B4">
              <w:rPr>
                <w:b/>
              </w:rPr>
              <w:t>£75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88" w:rsidRPr="00143688" w:rsidRDefault="00143688" w:rsidP="00A015DB">
            <w:r w:rsidRPr="00143688">
              <w:t xml:space="preserve">For involvement in a task or activity likely to require some preparation and which equates to approximately </w:t>
            </w:r>
            <w:r>
              <w:t>half a days</w:t>
            </w:r>
            <w:r w:rsidRPr="00143688">
              <w:t xml:space="preserve"> of activity. </w:t>
            </w:r>
          </w:p>
          <w:p w:rsidR="00143688" w:rsidRPr="00143688" w:rsidRDefault="00143688" w:rsidP="00A015DB">
            <w:pPr>
              <w:pStyle w:val="ListParagraph"/>
              <w:numPr>
                <w:ilvl w:val="0"/>
                <w:numId w:val="5"/>
              </w:numPr>
            </w:pPr>
            <w:r w:rsidRPr="00143688">
              <w:t>For example, a teleconference</w:t>
            </w:r>
            <w:r>
              <w:t xml:space="preserve"> or</w:t>
            </w:r>
            <w:r w:rsidRPr="00143688">
              <w:t xml:space="preserve"> </w:t>
            </w:r>
            <w:r>
              <w:t>advisory group</w:t>
            </w:r>
            <w:r w:rsidRPr="00143688">
              <w:t xml:space="preserve"> with related papers to read or reviewing a few short documents. </w:t>
            </w:r>
          </w:p>
        </w:tc>
      </w:tr>
      <w:tr w:rsidR="00143688" w:rsidRPr="00143688" w:rsidTr="00A016B4">
        <w:trPr>
          <w:trHeight w:val="534"/>
        </w:trPr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C226" w:themeFill="accent1"/>
          </w:tcPr>
          <w:p w:rsidR="00143688" w:rsidRPr="00A016B4" w:rsidRDefault="00143688" w:rsidP="00407C95">
            <w:pPr>
              <w:jc w:val="center"/>
              <w:rPr>
                <w:b/>
              </w:rPr>
            </w:pPr>
            <w:r w:rsidRPr="00A016B4">
              <w:rPr>
                <w:b/>
              </w:rPr>
              <w:t>£150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DAF" w:rsidRDefault="00143688" w:rsidP="00A015DB">
            <w:r w:rsidRPr="00143688">
              <w:t xml:space="preserve">For involvement in one-off, all-day meetings. </w:t>
            </w:r>
          </w:p>
          <w:p w:rsidR="00143688" w:rsidRPr="00143688" w:rsidRDefault="00143688" w:rsidP="00A015DB">
            <w:pPr>
              <w:pStyle w:val="ListParagraph"/>
              <w:numPr>
                <w:ilvl w:val="0"/>
                <w:numId w:val="5"/>
              </w:numPr>
            </w:pPr>
            <w:r w:rsidRPr="00143688">
              <w:t>For example, attending a committee or p</w:t>
            </w:r>
            <w:r>
              <w:t xml:space="preserve">anel meeting and </w:t>
            </w:r>
            <w:r w:rsidR="004D09AB">
              <w:t xml:space="preserve">reading and </w:t>
            </w:r>
            <w:r w:rsidRPr="00143688">
              <w:t xml:space="preserve">reviewing </w:t>
            </w:r>
            <w:r>
              <w:t>related</w:t>
            </w:r>
            <w:r w:rsidRPr="00143688">
              <w:t xml:space="preserve"> documents.</w:t>
            </w:r>
          </w:p>
        </w:tc>
      </w:tr>
    </w:tbl>
    <w:bookmarkEnd w:id="0"/>
    <w:p w:rsidR="00A016B4" w:rsidRPr="00A015DB" w:rsidRDefault="00A016B4" w:rsidP="00A016B4">
      <w:pPr>
        <w:pStyle w:val="Heading1"/>
      </w:pPr>
      <w:r>
        <w:t>Methods of payment</w:t>
      </w:r>
    </w:p>
    <w:p w:rsidR="00A015DB" w:rsidRDefault="00A015DB" w:rsidP="005A0FC0">
      <w:pPr>
        <w:pStyle w:val="ListParagraph"/>
        <w:numPr>
          <w:ilvl w:val="0"/>
          <w:numId w:val="5"/>
        </w:numPr>
      </w:pPr>
      <w:r>
        <w:t xml:space="preserve">Each partner department/organisation will have its own method of payment, and may have slightly </w:t>
      </w:r>
      <w:r w:rsidR="00FF7A6A">
        <w:t>varied</w:t>
      </w:r>
      <w:r>
        <w:t xml:space="preserve"> rates </w:t>
      </w:r>
      <w:r w:rsidR="005A0FC0">
        <w:t>as</w:t>
      </w:r>
      <w:r>
        <w:t xml:space="preserve"> part of internal or university payment policies. Please see your</w:t>
      </w:r>
      <w:r w:rsidR="00FF7A6A">
        <w:t xml:space="preserve"> local</w:t>
      </w:r>
      <w:r>
        <w:t xml:space="preserve"> </w:t>
      </w:r>
      <w:hyperlink r:id="rId13" w:history="1">
        <w:r w:rsidRPr="00FF7A6A">
          <w:rPr>
            <w:rStyle w:val="Hyperlink"/>
          </w:rPr>
          <w:t>PPI coordinator</w:t>
        </w:r>
      </w:hyperlink>
      <w:r>
        <w:t xml:space="preserve"> for more information</w:t>
      </w:r>
      <w:r w:rsidR="00FF7A6A">
        <w:t>.</w:t>
      </w:r>
    </w:p>
    <w:p w:rsidR="005A0FC0" w:rsidRDefault="005A0FC0" w:rsidP="005A0FC0">
      <w:pPr>
        <w:ind w:left="360"/>
      </w:pPr>
    </w:p>
    <w:p w:rsidR="005A0FC0" w:rsidRDefault="005A0FC0" w:rsidP="00A5102B">
      <w:pPr>
        <w:pStyle w:val="ListParagraph"/>
        <w:numPr>
          <w:ilvl w:val="0"/>
          <w:numId w:val="5"/>
        </w:numPr>
      </w:pPr>
      <w:r>
        <w:t xml:space="preserve">Payment can also be made in vouchers if this is the preferred by either the department or contributors. </w:t>
      </w:r>
    </w:p>
    <w:sectPr w:rsidR="005A0FC0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3FC" w:rsidRDefault="008613FC" w:rsidP="00A015DB">
      <w:pPr>
        <w:spacing w:line="240" w:lineRule="auto"/>
      </w:pPr>
      <w:r>
        <w:separator/>
      </w:r>
    </w:p>
  </w:endnote>
  <w:endnote w:type="continuationSeparator" w:id="0">
    <w:p w:rsidR="008613FC" w:rsidRDefault="008613FC" w:rsidP="00A015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5DB" w:rsidRPr="00A015DB" w:rsidRDefault="00A015DB">
    <w:pPr>
      <w:pStyle w:val="Footer"/>
      <w:rPr>
        <w:vertAlign w:val="superscript"/>
      </w:rPr>
    </w:pPr>
    <w:r w:rsidRPr="00A015DB">
      <w:rPr>
        <w:vertAlign w:val="superscript"/>
      </w:rPr>
      <w:t>SPCR Guidance Document v</w:t>
    </w:r>
    <w:r>
      <w:rPr>
        <w:vertAlign w:val="superscript"/>
      </w:rPr>
      <w:t>.</w:t>
    </w:r>
    <w:r w:rsidRPr="00A015DB">
      <w:rPr>
        <w:vertAlign w:val="superscript"/>
      </w:rPr>
      <w:t>1</w:t>
    </w:r>
    <w:r>
      <w:rPr>
        <w:vertAlign w:val="superscript"/>
      </w:rPr>
      <w:t>.</w:t>
    </w:r>
    <w:r w:rsidRPr="00A015DB">
      <w:rPr>
        <w:vertAlign w:val="superscript"/>
      </w:rPr>
      <w:t xml:space="preserve"> 13.04.2017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3FC" w:rsidRDefault="008613FC" w:rsidP="00A015DB">
      <w:pPr>
        <w:spacing w:line="240" w:lineRule="auto"/>
      </w:pPr>
      <w:r>
        <w:separator/>
      </w:r>
    </w:p>
  </w:footnote>
  <w:footnote w:type="continuationSeparator" w:id="0">
    <w:p w:rsidR="008613FC" w:rsidRDefault="008613FC" w:rsidP="00A015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24FF3"/>
    <w:multiLevelType w:val="hybridMultilevel"/>
    <w:tmpl w:val="7FD8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F5054"/>
    <w:multiLevelType w:val="hybridMultilevel"/>
    <w:tmpl w:val="EAD8F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01A7A"/>
    <w:multiLevelType w:val="hybridMultilevel"/>
    <w:tmpl w:val="F6F48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4331D"/>
    <w:multiLevelType w:val="hybridMultilevel"/>
    <w:tmpl w:val="D1009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A1092"/>
    <w:multiLevelType w:val="hybridMultilevel"/>
    <w:tmpl w:val="D85A9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86EF6"/>
    <w:multiLevelType w:val="hybridMultilevel"/>
    <w:tmpl w:val="0EDED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11D0F"/>
    <w:multiLevelType w:val="hybridMultilevel"/>
    <w:tmpl w:val="401CD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0F"/>
    <w:rsid w:val="0005302C"/>
    <w:rsid w:val="000B28AD"/>
    <w:rsid w:val="00143688"/>
    <w:rsid w:val="001908A5"/>
    <w:rsid w:val="001E145A"/>
    <w:rsid w:val="0020710F"/>
    <w:rsid w:val="00213E3F"/>
    <w:rsid w:val="00384DAF"/>
    <w:rsid w:val="003A16AF"/>
    <w:rsid w:val="003B6A3A"/>
    <w:rsid w:val="00407C95"/>
    <w:rsid w:val="00430482"/>
    <w:rsid w:val="0049733C"/>
    <w:rsid w:val="004D09AB"/>
    <w:rsid w:val="00552299"/>
    <w:rsid w:val="0057616C"/>
    <w:rsid w:val="00597E83"/>
    <w:rsid w:val="005A0FC0"/>
    <w:rsid w:val="00701884"/>
    <w:rsid w:val="007D66E9"/>
    <w:rsid w:val="007F4DC7"/>
    <w:rsid w:val="00803CDE"/>
    <w:rsid w:val="008374BD"/>
    <w:rsid w:val="008445B7"/>
    <w:rsid w:val="008613FC"/>
    <w:rsid w:val="008C5319"/>
    <w:rsid w:val="009B21F5"/>
    <w:rsid w:val="009C018F"/>
    <w:rsid w:val="00A015DB"/>
    <w:rsid w:val="00A016B4"/>
    <w:rsid w:val="00A85028"/>
    <w:rsid w:val="00AD7F23"/>
    <w:rsid w:val="00B874A7"/>
    <w:rsid w:val="00C71FAC"/>
    <w:rsid w:val="00C85450"/>
    <w:rsid w:val="00CD341D"/>
    <w:rsid w:val="00CF5854"/>
    <w:rsid w:val="00D10DE5"/>
    <w:rsid w:val="00D36C43"/>
    <w:rsid w:val="00DB4143"/>
    <w:rsid w:val="00DB7940"/>
    <w:rsid w:val="00ED0428"/>
    <w:rsid w:val="00F2695B"/>
    <w:rsid w:val="00F86A43"/>
    <w:rsid w:val="00FA030C"/>
    <w:rsid w:val="00FA5980"/>
    <w:rsid w:val="00FE553B"/>
    <w:rsid w:val="00FE6A32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A0957-1FF6-454A-AB51-4DC49307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5DB"/>
    <w:pPr>
      <w:spacing w:after="0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10F"/>
    <w:pPr>
      <w:keepNext/>
      <w:keepLines/>
      <w:spacing w:before="32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10F"/>
    <w:pPr>
      <w:keepNext/>
      <w:keepLines/>
      <w:spacing w:before="8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10F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2C3C43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1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1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10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1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1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1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10F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10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10F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10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10F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10F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10F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10F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10F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710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0710F"/>
    <w:pPr>
      <w:spacing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10F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10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0710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0710F"/>
    <w:rPr>
      <w:b/>
      <w:bCs/>
    </w:rPr>
  </w:style>
  <w:style w:type="character" w:styleId="Emphasis">
    <w:name w:val="Emphasis"/>
    <w:basedOn w:val="DefaultParagraphFont"/>
    <w:uiPriority w:val="20"/>
    <w:qFormat/>
    <w:rsid w:val="0020710F"/>
    <w:rPr>
      <w:i/>
      <w:iCs/>
    </w:rPr>
  </w:style>
  <w:style w:type="paragraph" w:styleId="NoSpacing">
    <w:name w:val="No Spacing"/>
    <w:uiPriority w:val="1"/>
    <w:qFormat/>
    <w:rsid w:val="002071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710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10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10F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10F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0710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071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710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710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0710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710F"/>
    <w:pPr>
      <w:outlineLvl w:val="9"/>
    </w:pPr>
  </w:style>
  <w:style w:type="paragraph" w:customStyle="1" w:styleId="Default">
    <w:name w:val="Default"/>
    <w:rsid w:val="00F86A4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28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5D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5DB"/>
    <w:rPr>
      <w:rFonts w:ascii="Calibri" w:hAnsi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5D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5DB"/>
    <w:rPr>
      <w:rFonts w:ascii="Calibri" w:hAnsi="Calibr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1FAC"/>
    <w:rPr>
      <w:color w:val="99CA3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341D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4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pcr.nihr.ac.uk/PPI/ppi-contac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invo.org.uk/resource-centre/payment-and-recognition-for-public-involvement/involvement-cost-calculato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nvolve@nihr.ac.u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invo.org.uk/benefits-advice-service-for-involvement-for-nihr-organis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cr.nihr.ac.uk/PPI/ppi-contact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PCR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Palmer-Cooper</dc:creator>
  <cp:keywords/>
  <dc:description/>
  <cp:lastModifiedBy>Santos Sanchez F.</cp:lastModifiedBy>
  <cp:revision>2</cp:revision>
  <dcterms:created xsi:type="dcterms:W3CDTF">2020-01-15T20:07:00Z</dcterms:created>
  <dcterms:modified xsi:type="dcterms:W3CDTF">2020-01-15T20:07:00Z</dcterms:modified>
</cp:coreProperties>
</file>