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7"/>
          <w:szCs w:val="27"/>
        </w:rPr>
        <w:t xml:space="preserve">RANCANGAN KEBUTUHAN SISTEM INFORMASI LAYANAN OPTIMALISASI TEKNOLOGI INDUSTRI</w:t>
      </w:r>
    </w:p>
    <w:p>
      <w:pPr>
        <w:spacing w:after="60"/>
        <w:jc w:val="center"/>
      </w:pPr>
      <w:r>
        <w:rPr>
          <w:b/>
          <w:bCs/>
          <w:color w:val="881337"/>
          <w:sz w:val="23"/>
          <w:szCs w:val="23"/>
        </w:rPr>
        <w:t xml:space="preserve">SILOPTI — Sistem Informasi Layanan Optimalisasi Teknologi Industri</w:t>
      </w:r>
    </w:p>
    <w:p>
      <w:pPr>
        <w:spacing w:after="40"/>
        <w:jc w:val="center"/>
      </w:pPr>
      <w:r>
        <w:rPr>
          <w:i/>
          <w:iCs/>
          <w:sz w:val="21"/>
          <w:szCs w:val="21"/>
        </w:rPr>
        <w:t xml:space="preserve">Dokumen Rancangan Kebutuhan Sistem (System Requirement Document / SRD)</w:t>
      </w:r>
    </w:p>
    <w:p>
      <w:pPr>
        <w:spacing w:after="280"/>
        <w:jc w:val="center"/>
      </w:pPr>
      <w:r>
        <w:rPr>
          <w:i/>
          <w:iCs/>
          <w:sz w:val="20"/>
          <w:szCs w:val="20"/>
        </w:rPr>
        <w:t xml:space="preserve">Disusun sebagai bahan pembahasan dan pengembangan oleh Tim IT, Balai Besar Standardisasi dan Pelayanan Jasa Industri Selulosa (BBSPJI Selulosa), Kementerian Perindustrian Republik Indonesia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F1F5F9" w:val="clear"/>
            <w:tcMar>
              <w:top w:type="dxa" w:w="100"/>
              <w:left w:type="dxa" w:w="120"/>
              <w:bottom w:type="dxa" w:w="100"/>
              <w:right w:type="dxa" w:w="120"/>
            </w:tcMar>
          </w:tcPr>
          <w:p>
            <w:r>
              <w:rPr>
                <w:b/>
                <w:bCs/>
                <w:sz w:val="20"/>
                <w:szCs w:val="20"/>
              </w:rPr>
              <w:t xml:space="preserve">Nama Sistem</w:t>
            </w:r>
          </w:p>
        </w:tc>
        <w:tc>
          <w:tcPr>
            <w:tcW w:type="dxa" w:w="6750"/>
            <w:tcMar>
              <w:top w:type="dxa" w:w="100"/>
              <w:left w:type="dxa" w:w="120"/>
              <w:bottom w:type="dxa" w:w="100"/>
              <w:right w:type="dxa" w:w="120"/>
            </w:tcMar>
          </w:tcPr>
          <w:p>
            <w:r>
              <w:rPr>
                <w:b w:val="false"/>
                <w:bCs w:val="false"/>
                <w:sz w:val="20"/>
                <w:szCs w:val="20"/>
              </w:rPr>
              <w:t xml:space="preserve">Sistem Informasi Layanan Optimalisasi Teknologi Industri (SILOPTI / OPTI Tracker)</w:t>
            </w:r>
          </w:p>
        </w:tc>
      </w:tr>
      <w:tr>
        <w:tc>
          <w:tcPr>
            <w:tcW w:type="dxa" w:w="2600"/>
            <w:shd w:fill="F1F5F9" w:val="clear"/>
            <w:tcMar>
              <w:top w:type="dxa" w:w="100"/>
              <w:left w:type="dxa" w:w="120"/>
              <w:bottom w:type="dxa" w:w="100"/>
              <w:right w:type="dxa" w:w="120"/>
            </w:tcMar>
          </w:tcPr>
          <w:p>
            <w:r>
              <w:rPr>
                <w:b/>
                <w:bCs/>
                <w:sz w:val="20"/>
                <w:szCs w:val="20"/>
              </w:rPr>
              <w:t xml:space="preserve">Fokus Utama</w:t>
            </w:r>
          </w:p>
        </w:tc>
        <w:tc>
          <w:tcPr>
            <w:tcW w:type="dxa" w:w="6750"/>
            <w:tcMar>
              <w:top w:type="dxa" w:w="100"/>
              <w:left w:type="dxa" w:w="120"/>
              <w:bottom w:type="dxa" w:w="100"/>
              <w:right w:type="dxa" w:w="120"/>
            </w:tcMar>
          </w:tcPr>
          <w:p>
            <w:r>
              <w:rPr>
                <w:b w:val="false"/>
                <w:bCs w:val="false"/>
                <w:sz w:val="20"/>
                <w:szCs w:val="20"/>
              </w:rPr>
              <w:t xml:space="preserve">Digitalisasi alur layanan OPTI dari surat permohonan masuk hingga penutupan order (BAST), mencakup penawaran resmi, pembayaran multi-termin, dan pelaksanaan kegiatan (PO)</w:t>
            </w:r>
          </w:p>
        </w:tc>
      </w:tr>
      <w:tr>
        <w:tc>
          <w:tcPr>
            <w:tcW w:type="dxa" w:w="2600"/>
            <w:shd w:fill="F1F5F9" w:val="clear"/>
            <w:tcMar>
              <w:top w:type="dxa" w:w="100"/>
              <w:left w:type="dxa" w:w="120"/>
              <w:bottom w:type="dxa" w:w="100"/>
              <w:right w:type="dxa" w:w="120"/>
            </w:tcMar>
          </w:tcPr>
          <w:p>
            <w:r>
              <w:rPr>
                <w:b/>
                <w:bCs/>
                <w:sz w:val="20"/>
                <w:szCs w:val="20"/>
              </w:rPr>
              <w:t xml:space="preserve">Pengguna Utama</w:t>
            </w:r>
          </w:p>
        </w:tc>
        <w:tc>
          <w:tcPr>
            <w:tcW w:type="dxa" w:w="6750"/>
            <w:tcMar>
              <w:top w:type="dxa" w:w="100"/>
              <w:left w:type="dxa" w:w="120"/>
              <w:bottom w:type="dxa" w:w="100"/>
              <w:right w:type="dxa" w:w="120"/>
            </w:tcMar>
          </w:tcPr>
          <w:p>
            <w:r>
              <w:rPr>
                <w:b w:val="false"/>
                <w:bCs w:val="false"/>
                <w:sz w:val="20"/>
                <w:szCs w:val="20"/>
              </w:rPr>
              <w:t xml:space="preserve">Tim Mitra Industri, Ketua Tim OPTI Selulosa, Ketua Tim OPTI Lingkungan, Staf Keuangan, Tim Kerja/Peneliti, Admin Kontrak PKS, Superadmin, Pegawai Balai (akses baca)</w:t>
            </w:r>
          </w:p>
        </w:tc>
      </w:tr>
      <w:tr>
        <w:tc>
          <w:tcPr>
            <w:tcW w:type="dxa" w:w="2600"/>
            <w:shd w:fill="F1F5F9" w:val="clear"/>
            <w:tcMar>
              <w:top w:type="dxa" w:w="100"/>
              <w:left w:type="dxa" w:w="120"/>
              <w:bottom w:type="dxa" w:w="100"/>
              <w:right w:type="dxa" w:w="120"/>
            </w:tcMar>
          </w:tcPr>
          <w:p>
            <w:r>
              <w:rPr>
                <w:b/>
                <w:bCs/>
                <w:sz w:val="20"/>
                <w:szCs w:val="20"/>
              </w:rPr>
              <w:t xml:space="preserve">Sistem Terkait</w:t>
            </w:r>
          </w:p>
        </w:tc>
        <w:tc>
          <w:tcPr>
            <w:tcW w:type="dxa" w:w="6750"/>
            <w:tcMar>
              <w:top w:type="dxa" w:w="100"/>
              <w:left w:type="dxa" w:w="120"/>
              <w:bottom w:type="dxa" w:w="100"/>
              <w:right w:type="dxa" w:w="120"/>
            </w:tcMar>
          </w:tcPr>
          <w:p>
            <w:r>
              <w:rPr>
                <w:b w:val="false"/>
                <w:bCs w:val="false"/>
                <w:sz w:val="20"/>
                <w:szCs w:val="20"/>
              </w:rPr>
              <w:t xml:space="preserve">Sistem Kearsipan Sekretariat (tabel tb_arsipsurat) — sebagai sumber data surat permohonan masuk yang diklaim menjadi Order Layanan</w:t>
            </w:r>
          </w:p>
        </w:tc>
      </w:tr>
      <w:tr>
        <w:tc>
          <w:tcPr>
            <w:tcW w:type="dxa" w:w="2600"/>
            <w:shd w:fill="F1F5F9" w:val="clear"/>
            <w:tcMar>
              <w:top w:type="dxa" w:w="100"/>
              <w:left w:type="dxa" w:w="120"/>
              <w:bottom w:type="dxa" w:w="100"/>
              <w:right w:type="dxa" w:w="120"/>
            </w:tcMar>
          </w:tcPr>
          <w:p>
            <w:r>
              <w:rPr>
                <w:b/>
                <w:bCs/>
                <w:sz w:val="20"/>
                <w:szCs w:val="20"/>
              </w:rPr>
              <w:t xml:space="preserve">Rujukan</w:t>
            </w:r>
          </w:p>
        </w:tc>
        <w:tc>
          <w:tcPr>
            <w:tcW w:type="dxa" w:w="6750"/>
            <w:tcMar>
              <w:top w:type="dxa" w:w="100"/>
              <w:left w:type="dxa" w:w="120"/>
              <w:bottom w:type="dxa" w:w="100"/>
              <w:right w:type="dxa" w:w="120"/>
            </w:tcMar>
          </w:tcPr>
          <w:p>
            <w:r>
              <w:rPr>
                <w:b w:val="false"/>
                <w:bCs w:val="false"/>
                <w:sz w:val="20"/>
                <w:szCs w:val="20"/>
              </w:rPr>
              <w:t xml:space="preserve">Alur pelayanan jasa Optimalisasi Teknologi Industri (OPTI) BBSPJI Selulosa, divisi Selulosa dan Lingkungan</w:t>
            </w:r>
          </w:p>
        </w:tc>
      </w:tr>
      <w:tr>
        <w:tc>
          <w:tcPr>
            <w:tcW w:type="dxa" w:w="2600"/>
            <w:shd w:fill="F1F5F9" w:val="clear"/>
            <w:tcMar>
              <w:top w:type="dxa" w:w="100"/>
              <w:left w:type="dxa" w:w="120"/>
              <w:bottom w:type="dxa" w:w="100"/>
              <w:right w:type="dxa" w:w="120"/>
            </w:tcMar>
          </w:tcPr>
          <w:p>
            <w:r>
              <w:rPr>
                <w:b/>
                <w:bCs/>
                <w:sz w:val="20"/>
                <w:szCs w:val="20"/>
              </w:rPr>
              <w:t xml:space="preserve">Versi</w:t>
            </w:r>
          </w:p>
        </w:tc>
        <w:tc>
          <w:tcPr>
            <w:tcW w:type="dxa" w:w="6750"/>
            <w:tcMar>
              <w:top w:type="dxa" w:w="100"/>
              <w:left w:type="dxa" w:w="120"/>
              <w:bottom w:type="dxa" w:w="100"/>
              <w:right w:type="dxa" w:w="120"/>
            </w:tcMar>
          </w:tcPr>
          <w:p>
            <w:r>
              <w:rPr>
                <w:b w:val="false"/>
                <w:bCs w:val="false"/>
                <w:sz w:val="20"/>
                <w:szCs w:val="20"/>
              </w:rPr>
              <w:t xml:space="preserve">1.0</w:t>
            </w:r>
          </w:p>
        </w:tc>
      </w:tr>
    </w:tbl>
    <w:p>
      <w:pPr>
        <w:spacing w:after="260"/>
      </w:pPr>
    </w:p>
    <w:p>
      <w:pPr>
        <w:pStyle w:val="Heading1"/>
        <w:spacing w:after="140" w:before="320"/>
      </w:pPr>
      <w:r>
        <w:rPr>
          <w:b/>
          <w:bCs/>
          <w:color w:val="881337"/>
          <w:sz w:val="26"/>
          <w:szCs w:val="26"/>
        </w:rPr>
        <w:t xml:space="preserve">1. Latar Belakang</w:t>
      </w:r>
    </w:p>
    <w:p>
      <w:pPr>
        <w:spacing w:after="140"/>
        <w:jc w:val="both"/>
      </w:pPr>
      <w:r>
        <w:rPr>
          <w:b w:val="false"/>
          <w:bCs w:val="false"/>
          <w:i w:val="false"/>
          <w:iCs w:val="false"/>
          <w:sz w:val="21"/>
          <w:szCs w:val="21"/>
        </w:rPr>
        <w:t xml:space="preserve">Layanan Optimalisasi Teknologi Industri (OPTI) yang diselenggarakan BBSPJI Selulosa menangani permintaan mitra industri dari dua divisi teknis, yaitu Selulosa dan Lingkungan, dengan alur kerja yang berbeda pada tahap kajian teknis namun bermuara pada proses penawaran, pembayaran, dan pelaksanaan kegiatan yang sama. Sebelum SILOPTI dibangun, pencatatan surat permohonan, status penawaran, riwayat pembayaran multi-termin, dan progres pelaksanaan kegiatan (Petunjuk Operasional/PO) dikelola secara terpisah-pisah, sehingga sulit ditelusuri secara real-time oleh pihak-pihak yang terlibat (Tim Mitra, Ketua Tim, Staf Keuangan, dan pimpinan).</w:t>
      </w:r>
    </w:p>
    <w:p>
      <w:pPr>
        <w:spacing w:after="140"/>
        <w:jc w:val="both"/>
      </w:pPr>
      <w:r>
        <w:rPr>
          <w:b w:val="false"/>
          <w:bCs w:val="false"/>
          <w:i w:val="false"/>
          <w:iCs w:val="false"/>
          <w:sz w:val="21"/>
          <w:szCs w:val="21"/>
        </w:rPr>
        <w:t xml:space="preserve">Diperlukan sistem informasi terpusat yang menyatukan seluruh tahap ini dalam satu alur kerja (workflow) berjenjang, dengan pembagian akses berbasis peran (role), penomoran dokumen otomatis, dan riwayat transaksi yang tidak hilang meski terjadi revisi — sehingga status setiap order, mulai dari surat masuk hingga pelunasan pembayaran dan penutupan kegiatan, selalu dapat dipantau kapan pun.</w:t>
      </w:r>
    </w:p>
    <w:p>
      <w:pPr>
        <w:pStyle w:val="Heading1"/>
        <w:spacing w:after="140" w:before="320"/>
      </w:pPr>
      <w:r>
        <w:rPr>
          <w:b/>
          <w:bCs/>
          <w:color w:val="881337"/>
          <w:sz w:val="26"/>
          <w:szCs w:val="26"/>
        </w:rPr>
        <w:t xml:space="preserve">2. Tujuan</w:t>
      </w:r>
    </w:p>
    <w:p>
      <w:pPr>
        <w:pStyle w:val="ListParagraph"/>
        <w:numPr>
          <w:ilvl w:val="0"/>
          <w:numId w:val="2"/>
        </w:numPr>
        <w:spacing w:after="80"/>
      </w:pPr>
      <w:r>
        <w:rPr>
          <w:sz w:val="21"/>
          <w:szCs w:val="21"/>
        </w:rPr>
        <w:t xml:space="preserve">Menggantikan pencatatan manual/terpisah dengan basis data terpusat yang mencakup seluruh siklus order: surat masuk, tinjauan kelayakan, proposal, penawaran, pembayaran, PO Kegiatan, hingga BAST.</w:t>
      </w:r>
    </w:p>
    <w:p>
      <w:pPr>
        <w:pStyle w:val="ListParagraph"/>
        <w:numPr>
          <w:ilvl w:val="0"/>
          <w:numId w:val="2"/>
        </w:numPr>
        <w:spacing w:after="80"/>
      </w:pPr>
      <w:r>
        <w:rPr>
          <w:sz w:val="21"/>
          <w:szCs w:val="21"/>
        </w:rPr>
        <w:t xml:space="preserve">Menyediakan alur kerja berjenjang yang berbeda antara divisi Selulosa (melalui Tinjauan Kelayakan Teknis dan Proposal Riset) dan divisi Lingkungan (langsung menuju tahap penawaran), tanpa mencampur logika keduanya.</w:t>
      </w:r>
    </w:p>
    <w:p>
      <w:pPr>
        <w:pStyle w:val="ListParagraph"/>
        <w:numPr>
          <w:ilvl w:val="0"/>
          <w:numId w:val="2"/>
        </w:numPr>
        <w:spacing w:after="80"/>
      </w:pPr>
      <w:r>
        <w:rPr>
          <w:sz w:val="21"/>
          <w:szCs w:val="21"/>
        </w:rPr>
        <w:t xml:space="preserve">Mengotomasi penomoran dokumen resmi (Order, Surat Penawaran, PO Kegiatan) sesuai format baku instansi.</w:t>
      </w:r>
    </w:p>
    <w:p>
      <w:pPr>
        <w:pStyle w:val="ListParagraph"/>
        <w:numPr>
          <w:ilvl w:val="0"/>
          <w:numId w:val="2"/>
        </w:numPr>
        <w:spacing w:after="80"/>
      </w:pPr>
      <w:r>
        <w:rPr>
          <w:sz w:val="21"/>
          <w:szCs w:val="21"/>
        </w:rPr>
        <w:t xml:space="preserve">Menyediakan pencatatan pembayaran multi-termin yang akurat, dengan pencegahan kelebihan bayar (overpayment) dan dukungan skema Surat Kesanggupan Bayar bagi pelanggan yang berkomitmen membayar di kemudian hari.</w:t>
      </w:r>
    </w:p>
    <w:p>
      <w:pPr>
        <w:pStyle w:val="ListParagraph"/>
        <w:numPr>
          <w:ilvl w:val="0"/>
          <w:numId w:val="2"/>
        </w:numPr>
        <w:spacing w:after="80"/>
      </w:pPr>
      <w:r>
        <w:rPr>
          <w:sz w:val="21"/>
          <w:szCs w:val="21"/>
        </w:rPr>
        <w:t xml:space="preserve">Menyediakan modul Petunjuk Operasional (PO) Kegiatan dengan Rencana Anggaran Biaya (RAB) dan Jadwal Kegiatan yang dapat menyesuaikan diri secara otomatis terhadap rentang waktu pelaksanaan serta hari libur.</w:t>
      </w:r>
    </w:p>
    <w:p>
      <w:pPr>
        <w:pStyle w:val="ListParagraph"/>
        <w:numPr>
          <w:ilvl w:val="0"/>
          <w:numId w:val="2"/>
        </w:numPr>
        <w:spacing w:after="80"/>
      </w:pPr>
      <w:r>
        <w:rPr>
          <w:sz w:val="21"/>
          <w:szCs w:val="21"/>
        </w:rPr>
        <w:t xml:space="preserve">Menyediakan audit trail, notifikasi lintas peran, dan dashboard sebagai sarana pemantauan tanpa perlu berpindah aplikasi.</w:t>
      </w:r>
    </w:p>
    <w:p>
      <w:pPr>
        <w:pStyle w:val="ListParagraph"/>
        <w:numPr>
          <w:ilvl w:val="0"/>
          <w:numId w:val="2"/>
        </w:numPr>
        <w:spacing w:after="80"/>
      </w:pPr>
      <w:r>
        <w:rPr>
          <w:sz w:val="21"/>
          <w:szCs w:val="21"/>
        </w:rPr>
        <w:t xml:space="preserve">Menjaga privasi data pelanggan melalui pengaturan konfigurasi (mis. penyamaran nama klien) yang dapat diaktifkan sesuai kebijakan instansi.</w:t>
      </w:r>
    </w:p>
    <w:p>
      <w:pPr>
        <w:pStyle w:val="Heading1"/>
        <w:spacing w:after="140" w:before="320"/>
      </w:pPr>
      <w:r>
        <w:rPr>
          <w:b/>
          <w:bCs/>
          <w:color w:val="881337"/>
          <w:sz w:val="26"/>
          <w:szCs w:val="26"/>
        </w:rPr>
        <w:t xml:space="preserve">3. Prinsip Desain Sistem</w:t>
      </w:r>
    </w:p>
    <w:p>
      <w:pPr>
        <w:pStyle w:val="ListParagraph"/>
        <w:numPr>
          <w:ilvl w:val="0"/>
          <w:numId w:val="3"/>
        </w:numPr>
        <w:spacing w:after="80"/>
      </w:pPr>
      <w:r>
        <w:rPr>
          <w:sz w:val="21"/>
          <w:szCs w:val="21"/>
        </w:rPr>
        <w:t xml:space="preserve">One Order – One Identity: setiap permintaan layanan memiliki satu nomor Order unik yang mengikuti seluruh tahap berikutnya (penawaran, pembayaran, PO), bukan dokumen-dokumen lepas yang berdiri sendiri.</w:t>
      </w:r>
    </w:p>
    <w:p>
      <w:pPr>
        <w:pStyle w:val="ListParagraph"/>
        <w:numPr>
          <w:ilvl w:val="0"/>
          <w:numId w:val="3"/>
        </w:numPr>
        <w:spacing w:after="80"/>
      </w:pPr>
      <w:r>
        <w:rPr>
          <w:sz w:val="21"/>
          <w:szCs w:val="21"/>
        </w:rPr>
        <w:t xml:space="preserve">Dua jalur divisi, satu muara: Selulosa melalui Tinjauan Kelayakan Teknis dan Proposal Riset sebelum penawaran resmi diterbitkan; Lingkungan langsung menuju tahap penawaran begitu disposisi ditentukan. Keduanya bertemu kembali pada tahap Surat Penawaran, Pembayaran, dan PO Kegiatan.</w:t>
      </w:r>
    </w:p>
    <w:p>
      <w:pPr>
        <w:pStyle w:val="ListParagraph"/>
        <w:numPr>
          <w:ilvl w:val="0"/>
          <w:numId w:val="3"/>
        </w:numPr>
        <w:spacing w:after="80"/>
      </w:pPr>
      <w:r>
        <w:rPr>
          <w:sz w:val="21"/>
          <w:szCs w:val="21"/>
        </w:rPr>
        <w:t xml:space="preserve">Sumber kebenaran tunggal per data: status pembayaran suatu order ditentukan langsung dari riwayat transaksi pembayaran itu sendiri, bukan dari kolom status yang disalin/disinkronkan secara terpisah — menghindari data yang tidak konsisten antar tampilan.</w:t>
      </w:r>
    </w:p>
    <w:p>
      <w:pPr>
        <w:pStyle w:val="ListParagraph"/>
        <w:numPr>
          <w:ilvl w:val="0"/>
          <w:numId w:val="3"/>
        </w:numPr>
        <w:spacing w:after="80"/>
      </w:pPr>
      <w:r>
        <w:rPr>
          <w:sz w:val="21"/>
          <w:szCs w:val="21"/>
        </w:rPr>
        <w:t xml:space="preserve">Riwayat tidak dihapus: revisi surat penawaran (negosiasi harga), pembayaran termin, dan status klaim surat tersimpan sebagai riwayat yang dapat ditelusuri, bukan menimpa data sebelumnya.</w:t>
      </w:r>
    </w:p>
    <w:p>
      <w:pPr>
        <w:pStyle w:val="ListParagraph"/>
        <w:numPr>
          <w:ilvl w:val="0"/>
          <w:numId w:val="3"/>
        </w:numPr>
        <w:spacing w:after="80"/>
      </w:pPr>
      <w:r>
        <w:rPr>
          <w:sz w:val="21"/>
          <w:szCs w:val="21"/>
        </w:rPr>
        <w:t xml:space="preserve">Setiap tindakan berjenjang tercatat: aksi Setuju/Deal, Nego, atau Tolak pada penawaran, maupun klaim/tolak pada surat masuk, selalu mencatat siapa, kapan, dan (bila relevan) alasannya.</w:t>
      </w:r>
    </w:p>
    <w:p>
      <w:pPr>
        <w:pStyle w:val="ListParagraph"/>
        <w:numPr>
          <w:ilvl w:val="0"/>
          <w:numId w:val="3"/>
        </w:numPr>
        <w:spacing w:after="80"/>
      </w:pPr>
      <w:r>
        <w:rPr>
          <w:sz w:val="21"/>
          <w:szCs w:val="21"/>
        </w:rPr>
        <w:t xml:space="preserve">Pencegahan kesalahan input pada titik penting: nominal pembayaran yang melebihi sisa tagihan ditolak sistem sebelum tersimpan, sebagai pengaman dari kesalahan penulisan angka oleh Staf Keuangan.</w:t>
      </w:r>
    </w:p>
    <w:p>
      <w:pPr>
        <w:pStyle w:val="ListParagraph"/>
        <w:numPr>
          <w:ilvl w:val="0"/>
          <w:numId w:val="3"/>
        </w:numPr>
        <w:spacing w:after="80"/>
      </w:pPr>
      <w:r>
        <w:rPr>
          <w:sz w:val="21"/>
          <w:szCs w:val="21"/>
        </w:rPr>
        <w:t xml:space="preserve">Fleksibilitas struktur pada RAB dan Jadwal Kegiatan PO: kategori RAB serta rentang kolom Jadwal (harian atau bulanan) menyesuaikan otomatis terhadap kebutuhan tiap Order, bukan format kaku yang sama untuk semua kegiatan.</w:t>
      </w:r>
    </w:p>
    <w:p>
      <w:pPr>
        <w:pStyle w:val="Heading1"/>
        <w:spacing w:after="140" w:before="320"/>
      </w:pPr>
      <w:r>
        <w:rPr>
          <w:b/>
          <w:bCs/>
          <w:color w:val="881337"/>
          <w:sz w:val="26"/>
          <w:szCs w:val="26"/>
        </w:rPr>
        <w:t xml:space="preserve">4. Role Pengguna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F1F5F9" w:val="clear"/>
            <w:tcMar>
              <w:top w:type="dxa" w:w="100"/>
              <w:left w:type="dxa" w:w="120"/>
              <w:bottom w:type="dxa" w:w="100"/>
              <w:right w:type="dxa" w:w="120"/>
            </w:tcMar>
          </w:tcPr>
          <w:p>
            <w:r>
              <w:rPr>
                <w:b/>
                <w:bCs/>
                <w:sz w:val="20"/>
                <w:szCs w:val="20"/>
              </w:rPr>
              <w:t xml:space="preserve">Role</w:t>
            </w:r>
          </w:p>
        </w:tc>
        <w:tc>
          <w:tcPr>
            <w:tcW w:type="dxa" w:w="6750"/>
            <w:shd w:fill="F1F5F9" w:val="clear"/>
            <w:tcMar>
              <w:top w:type="dxa" w:w="100"/>
              <w:left w:type="dxa" w:w="120"/>
              <w:bottom w:type="dxa" w:w="100"/>
              <w:right w:type="dxa" w:w="120"/>
            </w:tcMar>
          </w:tcPr>
          <w:p>
            <w:r>
              <w:rPr>
                <w:b/>
                <w:bCs/>
                <w:sz w:val="20"/>
                <w:szCs w:val="20"/>
              </w:rPr>
              <w:t xml:space="preserve">Fungsi Utama</w:t>
            </w:r>
          </w:p>
        </w:tc>
      </w:tr>
      <w:tr>
        <w:tc>
          <w:tcPr>
            <w:tcW w:type="dxa" w:w="2600"/>
            <w:tcMar>
              <w:top w:type="dxa" w:w="100"/>
              <w:left w:type="dxa" w:w="120"/>
              <w:bottom w:type="dxa" w:w="100"/>
              <w:right w:type="dxa" w:w="120"/>
            </w:tcMar>
          </w:tcPr>
          <w:p>
            <w:r>
              <w:rPr>
                <w:b w:val="false"/>
                <w:bCs w:val="false"/>
                <w:sz w:val="20"/>
                <w:szCs w:val="20"/>
              </w:rPr>
              <w:t xml:space="preserve">Superadmin</w:t>
            </w:r>
          </w:p>
        </w:tc>
        <w:tc>
          <w:tcPr>
            <w:tcW w:type="dxa" w:w="6750"/>
            <w:tcMar>
              <w:top w:type="dxa" w:w="100"/>
              <w:left w:type="dxa" w:w="120"/>
              <w:bottom w:type="dxa" w:w="100"/>
              <w:right w:type="dxa" w:w="120"/>
            </w:tcMar>
          </w:tcPr>
          <w:p>
            <w:r>
              <w:rPr>
                <w:b w:val="false"/>
                <w:bCs w:val="false"/>
                <w:sz w:val="20"/>
                <w:szCs w:val="20"/>
              </w:rPr>
              <w:t xml:space="preserve">Akses penuh ke seluruh modul, termasuk pengaturan konfigurasi sistem dan penggantian peran untuk keperluan pengujian.</w:t>
            </w:r>
          </w:p>
        </w:tc>
      </w:tr>
      <w:tr>
        <w:tc>
          <w:tcPr>
            <w:tcW w:type="dxa" w:w="2600"/>
            <w:tcMar>
              <w:top w:type="dxa" w:w="100"/>
              <w:left w:type="dxa" w:w="120"/>
              <w:bottom w:type="dxa" w:w="100"/>
              <w:right w:type="dxa" w:w="120"/>
            </w:tcMar>
          </w:tcPr>
          <w:p>
            <w:r>
              <w:rPr>
                <w:b w:val="false"/>
                <w:bCs w:val="false"/>
                <w:sz w:val="20"/>
                <w:szCs w:val="20"/>
              </w:rPr>
              <w:t xml:space="preserve">Tim Mitra Industri</w:t>
            </w:r>
          </w:p>
        </w:tc>
        <w:tc>
          <w:tcPr>
            <w:tcW w:type="dxa" w:w="6750"/>
            <w:tcMar>
              <w:top w:type="dxa" w:w="100"/>
              <w:left w:type="dxa" w:w="120"/>
              <w:bottom w:type="dxa" w:w="100"/>
              <w:right w:type="dxa" w:w="120"/>
            </w:tcMar>
          </w:tcPr>
          <w:p>
            <w:r>
              <w:rPr>
                <w:b w:val="false"/>
                <w:bCs w:val="false"/>
                <w:sz w:val="20"/>
                <w:szCs w:val="20"/>
              </w:rPr>
              <w:t xml:space="preserve">Mengelola Order dari awal: menerima/klaim surat masuk, mengisi form pelayanan, menerbitkan Surat Penawaran, mencatat respon klien, serta mengisi PO Kegiatan.</w:t>
            </w:r>
          </w:p>
        </w:tc>
      </w:tr>
      <w:tr>
        <w:tc>
          <w:tcPr>
            <w:tcW w:type="dxa" w:w="2600"/>
            <w:tcMar>
              <w:top w:type="dxa" w:w="100"/>
              <w:left w:type="dxa" w:w="120"/>
              <w:bottom w:type="dxa" w:w="100"/>
              <w:right w:type="dxa" w:w="120"/>
            </w:tcMar>
          </w:tcPr>
          <w:p>
            <w:r>
              <w:rPr>
                <w:b w:val="false"/>
                <w:bCs w:val="false"/>
                <w:sz w:val="20"/>
                <w:szCs w:val="20"/>
              </w:rPr>
              <w:t xml:space="preserve">Ketua Tim OPTI Selulosa</w:t>
            </w:r>
          </w:p>
        </w:tc>
        <w:tc>
          <w:tcPr>
            <w:tcW w:type="dxa" w:w="6750"/>
            <w:tcMar>
              <w:top w:type="dxa" w:w="100"/>
              <w:left w:type="dxa" w:w="120"/>
              <w:bottom w:type="dxa" w:w="100"/>
              <w:right w:type="dxa" w:w="120"/>
            </w:tcMar>
          </w:tcPr>
          <w:p>
            <w:r>
              <w:rPr>
                <w:b w:val="false"/>
                <w:bCs w:val="false"/>
                <w:sz w:val="20"/>
                <w:szCs w:val="20"/>
              </w:rPr>
              <w:t xml:space="preserve">Melakukan Tinjauan Kelayakan Teknis dan menyetujui Proposal Riset khusus divisi Selulosa sebelum penawaran resmi dapat diterbitkan.</w:t>
            </w:r>
          </w:p>
        </w:tc>
      </w:tr>
      <w:tr>
        <w:tc>
          <w:tcPr>
            <w:tcW w:type="dxa" w:w="2600"/>
            <w:tcMar>
              <w:top w:type="dxa" w:w="100"/>
              <w:left w:type="dxa" w:w="120"/>
              <w:bottom w:type="dxa" w:w="100"/>
              <w:right w:type="dxa" w:w="120"/>
            </w:tcMar>
          </w:tcPr>
          <w:p>
            <w:r>
              <w:rPr>
                <w:b w:val="false"/>
                <w:bCs w:val="false"/>
                <w:sz w:val="20"/>
                <w:szCs w:val="20"/>
              </w:rPr>
              <w:t xml:space="preserve">Ketua Tim OPTI Lingkungan</w:t>
            </w:r>
          </w:p>
        </w:tc>
        <w:tc>
          <w:tcPr>
            <w:tcW w:type="dxa" w:w="6750"/>
            <w:tcMar>
              <w:top w:type="dxa" w:w="100"/>
              <w:left w:type="dxa" w:w="120"/>
              <w:bottom w:type="dxa" w:w="100"/>
              <w:right w:type="dxa" w:w="120"/>
            </w:tcMar>
          </w:tcPr>
          <w:p>
            <w:r>
              <w:rPr>
                <w:b w:val="false"/>
                <w:bCs w:val="false"/>
                <w:sz w:val="20"/>
                <w:szCs w:val="20"/>
              </w:rPr>
              <w:t xml:space="preserve">Menyetujui kelayakan teknis pada order divisi Lingkungan sesuai alur yang berlaku untuk divisi tersebut.</w:t>
            </w:r>
          </w:p>
        </w:tc>
      </w:tr>
      <w:tr>
        <w:tc>
          <w:tcPr>
            <w:tcW w:type="dxa" w:w="2600"/>
            <w:tcMar>
              <w:top w:type="dxa" w:w="100"/>
              <w:left w:type="dxa" w:w="120"/>
              <w:bottom w:type="dxa" w:w="100"/>
              <w:right w:type="dxa" w:w="120"/>
            </w:tcMar>
          </w:tcPr>
          <w:p>
            <w:r>
              <w:rPr>
                <w:b w:val="false"/>
                <w:bCs w:val="false"/>
                <w:sz w:val="20"/>
                <w:szCs w:val="20"/>
              </w:rPr>
              <w:t xml:space="preserve">Staf Keuangan</w:t>
            </w:r>
          </w:p>
        </w:tc>
        <w:tc>
          <w:tcPr>
            <w:tcW w:type="dxa" w:w="6750"/>
            <w:tcMar>
              <w:top w:type="dxa" w:w="100"/>
              <w:left w:type="dxa" w:w="120"/>
              <w:bottom w:type="dxa" w:w="100"/>
              <w:right w:type="dxa" w:w="120"/>
            </w:tcMar>
          </w:tcPr>
          <w:p>
            <w:r>
              <w:rPr>
                <w:b w:val="false"/>
                <w:bCs w:val="false"/>
                <w:sz w:val="20"/>
                <w:szCs w:val="20"/>
              </w:rPr>
              <w:t xml:space="preserve">Mencatat penerimaan pembayaran multi-termin, memverifikasi bukti bayar, dan memantau status tagihan tiap Order pada modul Rekapitulasi Keuangan &amp; Pembayaran.</w:t>
            </w:r>
          </w:p>
        </w:tc>
      </w:tr>
      <w:tr>
        <w:tc>
          <w:tcPr>
            <w:tcW w:type="dxa" w:w="2600"/>
            <w:tcMar>
              <w:top w:type="dxa" w:w="100"/>
              <w:left w:type="dxa" w:w="120"/>
              <w:bottom w:type="dxa" w:w="100"/>
              <w:right w:type="dxa" w:w="120"/>
            </w:tcMar>
          </w:tcPr>
          <w:p>
            <w:r>
              <w:rPr>
                <w:b w:val="false"/>
                <w:bCs w:val="false"/>
                <w:sz w:val="20"/>
                <w:szCs w:val="20"/>
              </w:rPr>
              <w:t xml:space="preserve">Tim Kerja / Peneliti</w:t>
            </w:r>
          </w:p>
        </w:tc>
        <w:tc>
          <w:tcPr>
            <w:tcW w:type="dxa" w:w="6750"/>
            <w:tcMar>
              <w:top w:type="dxa" w:w="100"/>
              <w:left w:type="dxa" w:w="120"/>
              <w:bottom w:type="dxa" w:w="100"/>
              <w:right w:type="dxa" w:w="120"/>
            </w:tcMar>
          </w:tcPr>
          <w:p>
            <w:r>
              <w:rPr>
                <w:b w:val="false"/>
                <w:bCs w:val="false"/>
                <w:sz w:val="20"/>
                <w:szCs w:val="20"/>
              </w:rPr>
              <w:t xml:space="preserve">Melaksanakan kegiatan teknis sesuai PO Kegiatan yang diterbitkan.</w:t>
            </w:r>
          </w:p>
        </w:tc>
      </w:tr>
      <w:tr>
        <w:tc>
          <w:tcPr>
            <w:tcW w:type="dxa" w:w="2600"/>
            <w:tcMar>
              <w:top w:type="dxa" w:w="100"/>
              <w:left w:type="dxa" w:w="120"/>
              <w:bottom w:type="dxa" w:w="100"/>
              <w:right w:type="dxa" w:w="120"/>
            </w:tcMar>
          </w:tcPr>
          <w:p>
            <w:r>
              <w:rPr>
                <w:b w:val="false"/>
                <w:bCs w:val="false"/>
                <w:sz w:val="20"/>
                <w:szCs w:val="20"/>
              </w:rPr>
              <w:t xml:space="preserve">Admin Kontrak (PKS)</w:t>
            </w:r>
          </w:p>
        </w:tc>
        <w:tc>
          <w:tcPr>
            <w:tcW w:type="dxa" w:w="6750"/>
            <w:tcMar>
              <w:top w:type="dxa" w:w="100"/>
              <w:left w:type="dxa" w:w="120"/>
              <w:bottom w:type="dxa" w:w="100"/>
              <w:right w:type="dxa" w:w="120"/>
            </w:tcMar>
          </w:tcPr>
          <w:p>
            <w:r>
              <w:rPr>
                <w:b w:val="false"/>
                <w:bCs w:val="false"/>
                <w:sz w:val="20"/>
                <w:szCs w:val="20"/>
              </w:rPr>
              <w:t xml:space="preserve">Mengelola dokumen Perjanjian Kerja Sama terkait Order yang telah berjalan.</w:t>
            </w:r>
          </w:p>
        </w:tc>
      </w:tr>
      <w:tr>
        <w:tc>
          <w:tcPr>
            <w:tcW w:type="dxa" w:w="2600"/>
            <w:tcMar>
              <w:top w:type="dxa" w:w="100"/>
              <w:left w:type="dxa" w:w="120"/>
              <w:bottom w:type="dxa" w:w="100"/>
              <w:right w:type="dxa" w:w="120"/>
            </w:tcMar>
          </w:tcPr>
          <w:p>
            <w:r>
              <w:rPr>
                <w:b w:val="false"/>
                <w:bCs w:val="false"/>
                <w:sz w:val="20"/>
                <w:szCs w:val="20"/>
              </w:rPr>
              <w:t xml:space="preserve">Pegawai Balai</w:t>
            </w:r>
          </w:p>
        </w:tc>
        <w:tc>
          <w:tcPr>
            <w:tcW w:type="dxa" w:w="6750"/>
            <w:tcMar>
              <w:top w:type="dxa" w:w="100"/>
              <w:left w:type="dxa" w:w="120"/>
              <w:bottom w:type="dxa" w:w="100"/>
              <w:right w:type="dxa" w:w="120"/>
            </w:tcMar>
          </w:tcPr>
          <w:p>
            <w:r>
              <w:rPr>
                <w:b w:val="false"/>
                <w:bCs w:val="false"/>
                <w:sz w:val="20"/>
                <w:szCs w:val="20"/>
              </w:rPr>
              <w:t xml:space="preserve">Akses baca (read-only) untuk pemantauan umum tanpa kewenangan mengubah data.</w:t>
            </w:r>
          </w:p>
        </w:tc>
      </w:tr>
    </w:tbl>
    <w:p>
      <w:pPr>
        <w:pStyle w:val="Heading1"/>
        <w:spacing w:after="140" w:before="320"/>
      </w:pPr>
      <w:r>
        <w:rPr>
          <w:b/>
          <w:bCs/>
          <w:color w:val="881337"/>
          <w:sz w:val="26"/>
          <w:szCs w:val="26"/>
        </w:rPr>
        <w:t xml:space="preserve">5. Master Data</w:t>
      </w:r>
    </w:p>
    <w:p>
      <w:pPr>
        <w:spacing w:after="140"/>
        <w:jc w:val="both"/>
      </w:pPr>
      <w:r>
        <w:rPr>
          <w:b w:val="false"/>
          <w:bCs w:val="false"/>
          <w:i w:val="false"/>
          <w:iCs w:val="false"/>
          <w:sz w:val="21"/>
          <w:szCs w:val="21"/>
        </w:rPr>
        <w:t xml:space="preserve">Master data berikut menjadi referensi baku yang dipakai berulang pada berbagai modul, sehingga penomoran, identitas pelanggan, dan kelengkapan teknis tetap konsisten:</w:t>
      </w:r>
    </w:p>
    <w:p>
      <w:pPr>
        <w:pStyle w:val="ListParagraph"/>
        <w:numPr>
          <w:ilvl w:val="0"/>
          <w:numId w:val="3"/>
        </w:numPr>
        <w:spacing w:after="80"/>
      </w:pPr>
      <w:r>
        <w:rPr>
          <w:sz w:val="21"/>
          <w:szCs w:val="21"/>
        </w:rPr>
        <w:t xml:space="preserve">Data Pelanggan (tb_customer): identitas resmi mitra industri — nama perusahaan, bentuk badan usaha (PT/CV/UD), alamat, kontak person, serta status keterdaftaran untuk Layanan Optimalisasi.</w:t>
      </w:r>
    </w:p>
    <w:p>
      <w:pPr>
        <w:pStyle w:val="ListParagraph"/>
        <w:numPr>
          <w:ilvl w:val="0"/>
          <w:numId w:val="3"/>
        </w:numPr>
        <w:spacing w:after="80"/>
      </w:pPr>
      <w:r>
        <w:rPr>
          <w:sz w:val="21"/>
          <w:szCs w:val="21"/>
        </w:rPr>
        <w:t xml:space="preserve">Data Pengguna (tb_arsipuser): akun internal pegawai beserta peran (role) dan divisi layanan yang ditanganinya.</w:t>
      </w:r>
    </w:p>
    <w:p>
      <w:pPr>
        <w:pStyle w:val="ListParagraph"/>
        <w:numPr>
          <w:ilvl w:val="0"/>
          <w:numId w:val="3"/>
        </w:numPr>
        <w:spacing w:after="80"/>
      </w:pPr>
      <w:r>
        <w:rPr>
          <w:sz w:val="21"/>
          <w:szCs w:val="21"/>
        </w:rPr>
        <w:t xml:space="preserve">Master PIC Peneliti: daftar personel teknis per divisi yang dapat ditugaskan pada Tim Pelaksana PO Kegiatan.</w:t>
      </w:r>
    </w:p>
    <w:p>
      <w:pPr>
        <w:pStyle w:val="ListParagraph"/>
        <w:numPr>
          <w:ilvl w:val="0"/>
          <w:numId w:val="3"/>
        </w:numPr>
        <w:spacing w:after="80"/>
      </w:pPr>
      <w:r>
        <w:rPr>
          <w:sz w:val="21"/>
          <w:szCs w:val="21"/>
        </w:rPr>
        <w:t xml:space="preserve">Kategori Uji dan Metode Uji: referensi jenis pengujian/analisis yang ditawarkan kepada mitra industri.</w:t>
      </w:r>
    </w:p>
    <w:p>
      <w:pPr>
        <w:pStyle w:val="ListParagraph"/>
        <w:numPr>
          <w:ilvl w:val="0"/>
          <w:numId w:val="3"/>
        </w:numPr>
        <w:spacing w:after="80"/>
      </w:pPr>
      <w:r>
        <w:rPr>
          <w:sz w:val="21"/>
          <w:szCs w:val="21"/>
        </w:rPr>
        <w:t xml:space="preserve">Pengujian Eksternal dan Lembaga Eksternal: referensi bila sebagian pengujian dirujuk ke pihak ketiga.</w:t>
      </w:r>
    </w:p>
    <w:p>
      <w:pPr>
        <w:pStyle w:val="ListParagraph"/>
        <w:numPr>
          <w:ilvl w:val="0"/>
          <w:numId w:val="3"/>
        </w:numPr>
        <w:spacing w:after="80"/>
      </w:pPr>
      <w:r>
        <w:rPr>
          <w:sz w:val="21"/>
          <w:szCs w:val="21"/>
        </w:rPr>
        <w:t xml:space="preserve">Hari Libur (tb_tanggal_libur): daftar tanggal libur nasional/khusus yang dipakai sistem untuk menandai kolom Jadwal Kegiatan pada PO secara otomatis.</w:t>
      </w:r>
    </w:p>
    <w:p>
      <w:pPr>
        <w:pStyle w:val="Heading1"/>
        <w:spacing w:after="140" w:before="320"/>
      </w:pPr>
      <w:r>
        <w:rPr>
          <w:b/>
          <w:bCs/>
          <w:color w:val="881337"/>
          <w:sz w:val="26"/>
          <w:szCs w:val="26"/>
        </w:rPr>
        <w:t xml:space="preserve">6. Alur Utama Bisnis</w:t>
      </w:r>
    </w:p>
    <w:p>
      <w:pPr>
        <w:spacing w:after="140"/>
        <w:jc w:val="both"/>
      </w:pPr>
      <w:r>
        <w:rPr>
          <w:b/>
          <w:bCs/>
          <w:i w:val="false"/>
          <w:iCs w:val="false"/>
          <w:sz w:val="21"/>
          <w:szCs w:val="21"/>
        </w:rPr>
        <w:t xml:space="preserve">Surat Masuk (Sekretariat) → Klaim Surat → Order: Permintaan Masuk → Disposisi Jenis Layanan (Selulosa/Lingkungan) → [Selulosa: Tinjauan Kelayakan Teknis → Proposal Riset → Disetujui] / [Lingkungan: langsung Siap Penawaran] → Surat Penawaran Resmi → Respon Klien (Deal / Nego / Batal) → [bila Deal] Menunggu Pembayaran → Pembayaran Multi-Termin atau Surat Kesanggupan Bayar → Lunas → PO Kegiatan (RAB, Jadwal, Tim Pelaksana) → Pelaksanaan → BAST → Order Ditutup.</w:t>
      </w:r>
    </w:p>
    <w:p>
      <w:pPr>
        <w:spacing w:after="140"/>
        <w:jc w:val="both"/>
      </w:pPr>
      <w:r>
        <w:rPr>
          <w:b w:val="false"/>
          <w:bCs w:val="false"/>
          <w:i w:val="false"/>
          <w:iCs w:val="false"/>
          <w:sz w:val="21"/>
          <w:szCs w:val="21"/>
        </w:rPr>
        <w:t xml:space="preserve">Pada tiap simpul persetujuan (klaim surat, tinjauan kelayakan, respon klien, verifikasi pembayaran) tersedia jalur maju maupun jalur kembali/tolak dengan alasan, sehingga order yang belum lengkap tidak ikut melaju ke tahap berikutnya.</w:t>
      </w:r>
    </w:p>
    <w:p>
      <w:pPr>
        <w:pStyle w:val="Heading1"/>
        <w:spacing w:after="140" w:before="320"/>
      </w:pPr>
      <w:r>
        <w:rPr>
          <w:b/>
          <w:bCs/>
          <w:color w:val="881337"/>
          <w:sz w:val="26"/>
          <w:szCs w:val="26"/>
        </w:rPr>
        <w:t xml:space="preserve">7. Detail Tahapan</w:t>
      </w:r>
    </w:p>
    <w:p>
      <w:pPr>
        <w:pStyle w:val="Heading2"/>
        <w:spacing w:after="100" w:before="220"/>
      </w:pPr>
      <w:r>
        <w:rPr>
          <w:b/>
          <w:bCs/>
          <w:color w:val="1f2937"/>
          <w:sz w:val="23"/>
          <w:szCs w:val="23"/>
        </w:rPr>
        <w:t xml:space="preserve">7.1 Surat Masuk dan Klaim</w:t>
      </w:r>
    </w:p>
    <w:p>
      <w:pPr>
        <w:pStyle w:val="ListParagraph"/>
        <w:numPr>
          <w:ilvl w:val="0"/>
          <w:numId w:val="3"/>
        </w:numPr>
        <w:spacing w:after="80"/>
      </w:pPr>
      <w:r>
        <w:rPr>
          <w:sz w:val="21"/>
          <w:szCs w:val="21"/>
        </w:rPr>
        <w:t xml:space="preserve">Surat permohonan yang diterima dari sistem kearsipan Sekretariat ditampilkan sebagai antrean, dengan syarat: sudah ditandai sebagai surat permohonan, sudah ditentukan jenis layanan OPTI-nya (Selulosa/Lingkungan), dan belum pernah diklaim.</w:t>
      </w:r>
    </w:p>
    <w:p>
      <w:pPr>
        <w:pStyle w:val="ListParagraph"/>
        <w:numPr>
          <w:ilvl w:val="0"/>
          <w:numId w:val="3"/>
        </w:numPr>
        <w:spacing w:after="80"/>
      </w:pPr>
      <w:r>
        <w:rPr>
          <w:sz w:val="21"/>
          <w:szCs w:val="21"/>
        </w:rPr>
        <w:t xml:space="preserve">Setiap baris antrean menampilkan nomor surat, perihal, instansi pengirim (bila sudah cocok dengan Data Pelanggan), serta tautan pratinjau berkas PDF asli surat tersebut.</w:t>
      </w:r>
    </w:p>
    <w:p>
      <w:pPr>
        <w:pStyle w:val="ListParagraph"/>
        <w:numPr>
          <w:ilvl w:val="0"/>
          <w:numId w:val="3"/>
        </w:numPr>
        <w:spacing w:after="80"/>
      </w:pPr>
      <w:r>
        <w:rPr>
          <w:sz w:val="21"/>
          <w:szCs w:val="21"/>
        </w:rPr>
        <w:t xml:space="preserve">Tim Mitra Industri men-klaim surat dengan memilih instansi pelanggan resmi dari Master Data; bila instansi belum terdaftar, dapat didaftarkan langsung dari layar klaim.</w:t>
      </w:r>
    </w:p>
    <w:p>
      <w:pPr>
        <w:pStyle w:val="ListParagraph"/>
        <w:numPr>
          <w:ilvl w:val="0"/>
          <w:numId w:val="3"/>
        </w:numPr>
        <w:spacing w:after="80"/>
      </w:pPr>
      <w:r>
        <w:rPr>
          <w:sz w:val="21"/>
          <w:szCs w:val="21"/>
        </w:rPr>
        <w:t xml:space="preserve">Proses klaim membuat Order baru berstatus Permintaan Masuk dan menandai surat sebagai sudah diklaim, sehingga tidak muncul dua kali pada antrean maupun tidak dapat diklaim ganda oleh pengguna lain.</w:t>
      </w:r>
    </w:p>
    <w:p>
      <w:pPr>
        <w:pStyle w:val="Heading2"/>
        <w:spacing w:after="100" w:before="220"/>
      </w:pPr>
      <w:r>
        <w:rPr>
          <w:b/>
          <w:bCs/>
          <w:color w:val="1f2937"/>
          <w:sz w:val="23"/>
          <w:szCs w:val="23"/>
        </w:rPr>
        <w:t xml:space="preserve">7.2 Disposisi dan Tinjauan Kelayakan (Divisi Selulosa)</w:t>
      </w:r>
    </w:p>
    <w:p>
      <w:pPr>
        <w:pStyle w:val="ListParagraph"/>
        <w:numPr>
          <w:ilvl w:val="0"/>
          <w:numId w:val="3"/>
        </w:numPr>
        <w:spacing w:after="80"/>
      </w:pPr>
      <w:r>
        <w:rPr>
          <w:sz w:val="21"/>
          <w:szCs w:val="21"/>
        </w:rPr>
        <w:t xml:space="preserve">Order yang berdisposisi ke divisi Selulosa wajib melalui Tinjauan Kelayakan Teknis oleh Ketua Tim OPTI Selulosa sebelum dapat melanjutkan ke tahap Proposal.</w:t>
      </w:r>
    </w:p>
    <w:p>
      <w:pPr>
        <w:pStyle w:val="ListParagraph"/>
        <w:numPr>
          <w:ilvl w:val="0"/>
          <w:numId w:val="3"/>
        </w:numPr>
        <w:spacing w:after="80"/>
      </w:pPr>
      <w:r>
        <w:rPr>
          <w:sz w:val="21"/>
          <w:szCs w:val="21"/>
        </w:rPr>
        <w:t xml:space="preserve">Keputusan tinjauan berupa “Dapat Dilaksanakan” atau sebaliknya; hanya order dengan keputusan “Dapat Dilaksanakan” yang dapat melanjutkan ke penyusunan Proposal Riset.</w:t>
      </w:r>
    </w:p>
    <w:p>
      <w:pPr>
        <w:pStyle w:val="ListParagraph"/>
        <w:numPr>
          <w:ilvl w:val="0"/>
          <w:numId w:val="3"/>
        </w:numPr>
        <w:spacing w:after="80"/>
      </w:pPr>
      <w:r>
        <w:rPr>
          <w:sz w:val="21"/>
          <w:szCs w:val="21"/>
        </w:rPr>
        <w:t xml:space="preserve">Proposal Riset memuat berkas teknis dan estimasi total biaya; Proposal harus berstatus disetujui (oleh Ketua Tim/pimpinan terkait) sebelum Surat Penawaran Resmi dapat diterbitkan.</w:t>
      </w:r>
    </w:p>
    <w:p>
      <w:pPr>
        <w:pStyle w:val="Heading2"/>
        <w:spacing w:after="100" w:before="220"/>
      </w:pPr>
      <w:r>
        <w:rPr>
          <w:b/>
          <w:bCs/>
          <w:color w:val="1f2937"/>
          <w:sz w:val="23"/>
          <w:szCs w:val="23"/>
        </w:rPr>
        <w:t xml:space="preserve">7.3 Jalur Divisi Lingkungan</w:t>
      </w:r>
    </w:p>
    <w:p>
      <w:pPr>
        <w:pStyle w:val="ListParagraph"/>
        <w:numPr>
          <w:ilvl w:val="0"/>
          <w:numId w:val="3"/>
        </w:numPr>
        <w:spacing w:after="80"/>
      </w:pPr>
      <w:r>
        <w:rPr>
          <w:sz w:val="21"/>
          <w:szCs w:val="21"/>
        </w:rPr>
        <w:t xml:space="preserve">Order yang berdisposisi ke divisi Lingkungan tidak melalui tahap Tinjauan Kelayakan/Proposal Riset yang sama seperti Selulosa; begitu status proposal biaya bernilai “siap penawaran”, Order langsung dapat diterbitkan Surat Penawarannya.</w:t>
      </w:r>
    </w:p>
    <w:p>
      <w:pPr>
        <w:pStyle w:val="Heading2"/>
        <w:spacing w:after="100" w:before="220"/>
      </w:pPr>
      <w:r>
        <w:rPr>
          <w:b/>
          <w:bCs/>
          <w:color w:val="1f2937"/>
          <w:sz w:val="23"/>
          <w:szCs w:val="23"/>
        </w:rPr>
        <w:t xml:space="preserve">7.4 Surat Penawaran Resmi dan Respon Klien</w:t>
      </w:r>
    </w:p>
    <w:p>
      <w:pPr>
        <w:pStyle w:val="ListParagraph"/>
        <w:numPr>
          <w:ilvl w:val="0"/>
          <w:numId w:val="3"/>
        </w:numPr>
        <w:spacing w:after="80"/>
      </w:pPr>
      <w:r>
        <w:rPr>
          <w:sz w:val="21"/>
          <w:szCs w:val="21"/>
        </w:rPr>
        <w:t xml:space="preserve">Surat Penawaran diterbitkan dengan nomor urut resmi mengikuti format baku instansi (nomor berurutan/BBSPJIS/kode romawi bulan/tahun), memuat nilai penawaran dan durasi pelaksanaan.</w:t>
      </w:r>
    </w:p>
    <w:p>
      <w:pPr>
        <w:pStyle w:val="ListParagraph"/>
        <w:numPr>
          <w:ilvl w:val="0"/>
          <w:numId w:val="3"/>
        </w:numPr>
        <w:spacing w:after="80"/>
      </w:pPr>
      <w:r>
        <w:rPr>
          <w:sz w:val="21"/>
          <w:szCs w:val="21"/>
        </w:rPr>
        <w:t xml:space="preserve">Setiap Order dapat memiliki lebih dari satu revisi Surat Penawaran (riwayat negosiasi); sistem menampilkan versi terbaru sebagai dokumen aktif sekaligus riwayat seluruh revisi sebelumnya.</w:t>
      </w:r>
    </w:p>
    <w:p>
      <w:pPr>
        <w:pStyle w:val="ListParagraph"/>
        <w:numPr>
          <w:ilvl w:val="0"/>
          <w:numId w:val="3"/>
        </w:numPr>
        <w:spacing w:after="80"/>
      </w:pPr>
      <w:r>
        <w:rPr>
          <w:sz w:val="21"/>
          <w:szCs w:val="21"/>
        </w:rPr>
        <w:t xml:space="preserve">Respon klien dicatat sebagai salah satu dari: Deal (disetujui), Nego (permintaan penyesuaian harga/ketentuan, dapat memperbarui nominal penawaran), atau Batal.</w:t>
      </w:r>
    </w:p>
    <w:p>
      <w:pPr>
        <w:pStyle w:val="ListParagraph"/>
        <w:numPr>
          <w:ilvl w:val="0"/>
          <w:numId w:val="3"/>
        </w:numPr>
        <w:spacing w:after="80"/>
      </w:pPr>
      <w:r>
        <w:rPr>
          <w:sz w:val="21"/>
          <w:szCs w:val="21"/>
        </w:rPr>
        <w:t xml:space="preserve">Begitu respon berstatus Deal, status keuangan Order otomatis berubah menjadi “Menunggu Pembayaran”, sehingga Order tersebut muncul pada modul Pembayaran.</w:t>
      </w:r>
    </w:p>
    <w:p>
      <w:pPr>
        <w:pStyle w:val="Heading2"/>
        <w:spacing w:after="100" w:before="220"/>
      </w:pPr>
      <w:r>
        <w:rPr>
          <w:b/>
          <w:bCs/>
          <w:color w:val="1f2937"/>
          <w:sz w:val="23"/>
          <w:szCs w:val="23"/>
        </w:rPr>
        <w:t xml:space="preserve">7.5 Surat Kesanggupan Bayar</w:t>
      </w:r>
    </w:p>
    <w:p>
      <w:pPr>
        <w:pStyle w:val="ListParagraph"/>
        <w:numPr>
          <w:ilvl w:val="0"/>
          <w:numId w:val="3"/>
        </w:numPr>
        <w:spacing w:after="80"/>
      </w:pPr>
      <w:r>
        <w:rPr>
          <w:sz w:val="21"/>
          <w:szCs w:val="21"/>
        </w:rPr>
        <w:t xml:space="preserve">Tersedia opsi unggah Surat Kesanggupan Bayar pada Order yang sudah Deal, untuk kasus pelanggan yang menyatakan komitmen membayar di kemudian hari (bulan berikutnya, tahun berikutnya, atau setelah seluruh pekerjaan selesai) alih-alih membayar termin saat itu juga.</w:t>
      </w:r>
    </w:p>
    <w:p>
      <w:pPr>
        <w:pStyle w:val="ListParagraph"/>
        <w:numPr>
          <w:ilvl w:val="0"/>
          <w:numId w:val="3"/>
        </w:numPr>
        <w:spacing w:after="80"/>
      </w:pPr>
      <w:r>
        <w:rPr>
          <w:sz w:val="21"/>
          <w:szCs w:val="21"/>
        </w:rPr>
        <w:t xml:space="preserve">Berkas hanya dapat berformat PDF atau Word, divalidasi baik dari nama berkas maupun isi berkas (bukan sekadar ekstensi), dengan nama penyimpanan yang digenerate acak oleh sistem sebagai pengaman tambahan.</w:t>
      </w:r>
    </w:p>
    <w:p>
      <w:pPr>
        <w:pStyle w:val="ListParagraph"/>
        <w:numPr>
          <w:ilvl w:val="0"/>
          <w:numId w:val="3"/>
        </w:numPr>
        <w:spacing w:after="80"/>
      </w:pPr>
      <w:r>
        <w:rPr>
          <w:sz w:val="21"/>
          <w:szCs w:val="21"/>
        </w:rPr>
        <w:t xml:space="preserve">Pada Form Catat Pembayaran, opsi “Skip pencatatan pembayaran” hanya muncul apabila Order tersebut memiliki Surat Kesanggupan Bayar terlampir; mengaktifkannya mencatat komitmen tersebut (nominal nol) dan Order tetap masuk ke kelompok “Sedang Berjalan”, bukan “Baru Masuk” maupun “Lunas”.</w:t>
      </w:r>
    </w:p>
    <w:p>
      <w:pPr>
        <w:pStyle w:val="Heading2"/>
        <w:spacing w:after="100" w:before="220"/>
      </w:pPr>
      <w:r>
        <w:rPr>
          <w:b/>
          <w:bCs/>
          <w:color w:val="1f2937"/>
          <w:sz w:val="23"/>
          <w:szCs w:val="23"/>
        </w:rPr>
        <w:t xml:space="preserve">7.6 PO Kegiatan (Petunjuk Operasional)</w:t>
      </w:r>
    </w:p>
    <w:p>
      <w:pPr>
        <w:pStyle w:val="ListParagraph"/>
        <w:numPr>
          <w:ilvl w:val="0"/>
          <w:numId w:val="3"/>
        </w:numPr>
        <w:spacing w:after="80"/>
      </w:pPr>
      <w:r>
        <w:rPr>
          <w:sz w:val="21"/>
          <w:szCs w:val="21"/>
        </w:rPr>
        <w:t xml:space="preserve">PO Kegiatan disusun setelah Order siap dilaksanakan, dengan struktur formulir yang menyesuaikan divisi: Lingkungan menampilkan bagian Alat &amp; Bahan serta Metoda sebagai bagian terpisah; Selulosa menampilkan struktur berjenjang (Alat, Bahan dan Bahan Kimia, Metode, serta Rincian Kebutuhan per kategori).</w:t>
      </w:r>
    </w:p>
    <w:p>
      <w:pPr>
        <w:pStyle w:val="ListParagraph"/>
        <w:numPr>
          <w:ilvl w:val="0"/>
          <w:numId w:val="3"/>
        </w:numPr>
        <w:spacing w:after="80"/>
      </w:pPr>
      <w:r>
        <w:rPr>
          <w:sz w:val="21"/>
          <w:szCs w:val="21"/>
        </w:rPr>
        <w:t xml:space="preserve">Rencana Anggaran Biaya (RAB) terdiri atas Penerimaan (nilai kontrak) dan Rencana Pengeluaran berkategori bebas; persentase tiap kategori dapat diketik langsung dan dijadikan acuan pembanding terhadap total nominal item yang diisi, sehingga kesesuaian anggaran terlihat jelas tanpa menghitung manual.</w:t>
      </w:r>
    </w:p>
    <w:p>
      <w:pPr>
        <w:pStyle w:val="ListParagraph"/>
        <w:numPr>
          <w:ilvl w:val="0"/>
          <w:numId w:val="3"/>
        </w:numPr>
        <w:spacing w:after="80"/>
      </w:pPr>
      <w:r>
        <w:rPr>
          <w:sz w:val="21"/>
          <w:szCs w:val="21"/>
        </w:rPr>
        <w:t xml:space="preserve">Jadwal Kegiatan menyesuaikan otomatis: rentang pelaksanaan 31 hari atau kurang ditampilkan per tanggal, lebih dari itu ditampilkan per bulan terbagi minggu ke-1 s.d. ke-4; kolom yang jatuh pada akhir pekan atau tanggal pada Master Hari Libur ditandai secara visual, namun tetap dapat dicentang bila memang dikerjakan.</w:t>
      </w:r>
    </w:p>
    <w:p>
      <w:pPr>
        <w:pStyle w:val="ListParagraph"/>
        <w:numPr>
          <w:ilvl w:val="0"/>
          <w:numId w:val="3"/>
        </w:numPr>
        <w:spacing w:after="80"/>
      </w:pPr>
      <w:r>
        <w:rPr>
          <w:sz w:val="21"/>
          <w:szCs w:val="21"/>
        </w:rPr>
        <w:t xml:space="preserve">Kegiatan dapat dikelompokkan ke dalam Tahap (opsional) untuk PO dengan cakupan pekerjaan yang terbagi menjadi beberapa tahap pelaksanaan.</w:t>
      </w:r>
    </w:p>
    <w:p>
      <w:pPr>
        <w:pStyle w:val="ListParagraph"/>
        <w:numPr>
          <w:ilvl w:val="0"/>
          <w:numId w:val="3"/>
        </w:numPr>
        <w:spacing w:after="80"/>
      </w:pPr>
      <w:r>
        <w:rPr>
          <w:sz w:val="21"/>
          <w:szCs w:val="21"/>
        </w:rPr>
        <w:t xml:space="preserve">Tim Pelaksana dipilih dari Master PIC/Pengguna, mencantumkan tugas dan uraian tugas masing-masing personel.</w:t>
      </w:r>
    </w:p>
    <w:p>
      <w:pPr>
        <w:pStyle w:val="ListParagraph"/>
        <w:numPr>
          <w:ilvl w:val="0"/>
          <w:numId w:val="3"/>
        </w:numPr>
        <w:spacing w:after="80"/>
      </w:pPr>
      <w:r>
        <w:rPr>
          <w:sz w:val="21"/>
          <w:szCs w:val="21"/>
        </w:rPr>
        <w:t xml:space="preserve">PO Kegiatan dapat dicetak dalam format dokumen resmi (PDF vektor, bukan gambar), lengkap dengan seluruh bagian di atas serta blok tanda tangan Pejabat Pembuat Komitmen dan Ketua Tim Kerja.</w:t>
      </w:r>
    </w:p>
    <w:p>
      <w:pPr>
        <w:pStyle w:val="Heading2"/>
        <w:spacing w:after="100" w:before="220"/>
      </w:pPr>
      <w:r>
        <w:rPr>
          <w:b/>
          <w:bCs/>
          <w:color w:val="1f2937"/>
          <w:sz w:val="23"/>
          <w:szCs w:val="23"/>
        </w:rPr>
        <w:t xml:space="preserve">7.7 BAST dan Penutupan Order</w:t>
      </w:r>
    </w:p>
    <w:p>
      <w:pPr>
        <w:pStyle w:val="ListParagraph"/>
        <w:numPr>
          <w:ilvl w:val="0"/>
          <w:numId w:val="3"/>
        </w:numPr>
        <w:spacing w:after="80"/>
      </w:pPr>
      <w:r>
        <w:rPr>
          <w:sz w:val="21"/>
          <w:szCs w:val="21"/>
        </w:rPr>
        <w:t xml:space="preserve">Setelah pelaksanaan dan pembayaran selesai, Order ditutup melalui penerbitan Berita Acara Serah Terima (BAST), menandai siklus Order tersebut selesai.</w:t>
      </w:r>
    </w:p>
    <w:p>
      <w:pPr>
        <w:pStyle w:val="Heading1"/>
        <w:spacing w:after="140" w:before="320"/>
      </w:pPr>
      <w:r>
        <w:rPr>
          <w:b/>
          <w:bCs/>
          <w:color w:val="881337"/>
          <w:sz w:val="26"/>
          <w:szCs w:val="26"/>
        </w:rPr>
        <w:t xml:space="preserve">8. Modul Rekapitulasi Keuangan &amp; Pembayaran</w:t>
      </w:r>
    </w:p>
    <w:p>
      <w:pPr>
        <w:spacing w:after="140"/>
        <w:jc w:val="both"/>
      </w:pPr>
      <w:r>
        <w:rPr>
          <w:b w:val="false"/>
          <w:bCs w:val="false"/>
          <w:i w:val="false"/>
          <w:iCs w:val="false"/>
          <w:sz w:val="21"/>
          <w:szCs w:val="21"/>
        </w:rPr>
        <w:t xml:space="preserve">Modul ini menyajikan seluruh Order yang berstatus Deal dalam empat kelompok tampilan (tab), yang ditentukan langsung dari riwayat transaksi pembayaran — bukan dari kolom status yang disalin terpisah: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F1F5F9" w:val="clear"/>
            <w:tcMar>
              <w:top w:type="dxa" w:w="100"/>
              <w:left w:type="dxa" w:w="120"/>
              <w:bottom w:type="dxa" w:w="100"/>
              <w:right w:type="dxa" w:w="120"/>
            </w:tcMar>
          </w:tcPr>
          <w:p>
            <w:r>
              <w:rPr>
                <w:b/>
                <w:bCs/>
                <w:sz w:val="20"/>
                <w:szCs w:val="20"/>
              </w:rPr>
              <w:t xml:space="preserve">Tab</w:t>
            </w:r>
          </w:p>
        </w:tc>
        <w:tc>
          <w:tcPr>
            <w:tcW w:type="dxa" w:w="7150"/>
            <w:shd w:fill="F1F5F9" w:val="clear"/>
            <w:tcMar>
              <w:top w:type="dxa" w:w="100"/>
              <w:left w:type="dxa" w:w="120"/>
              <w:bottom w:type="dxa" w:w="100"/>
              <w:right w:type="dxa" w:w="120"/>
            </w:tcMar>
          </w:tcPr>
          <w:p>
            <w:r>
              <w:rPr>
                <w:b/>
                <w:bCs/>
                <w:sz w:val="20"/>
                <w:szCs w:val="20"/>
              </w:rPr>
              <w:t xml:space="preserve">Kriteria</w:t>
            </w:r>
          </w:p>
        </w:tc>
      </w:tr>
      <w:tr>
        <w:tc>
          <w:tcPr>
            <w:tcW w:type="dxa" w:w="2200"/>
            <w:tcMar>
              <w:top w:type="dxa" w:w="100"/>
              <w:left w:type="dxa" w:w="120"/>
              <w:bottom w:type="dxa" w:w="100"/>
              <w:right w:type="dxa" w:w="120"/>
            </w:tcMar>
          </w:tcPr>
          <w:p>
            <w:r>
              <w:rPr>
                <w:b w:val="false"/>
                <w:bCs w:val="false"/>
                <w:sz w:val="20"/>
                <w:szCs w:val="20"/>
              </w:rPr>
              <w:t xml:space="preserve">Baru Masuk</w:t>
            </w:r>
          </w:p>
        </w:tc>
        <w:tc>
          <w:tcPr>
            <w:tcW w:type="dxa" w:w="7150"/>
            <w:tcMar>
              <w:top w:type="dxa" w:w="100"/>
              <w:left w:type="dxa" w:w="120"/>
              <w:bottom w:type="dxa" w:w="100"/>
              <w:right w:type="dxa" w:w="120"/>
            </w:tcMar>
          </w:tcPr>
          <w:p>
            <w:r>
              <w:rPr>
                <w:b w:val="false"/>
                <w:bCs w:val="false"/>
                <w:sz w:val="20"/>
                <w:szCs w:val="20"/>
              </w:rPr>
              <w:t xml:space="preserve">Order sudah Deal, namun belum ada satu pun transaksi pembayaran maupun catatan Kesanggupan Bayar.</w:t>
            </w:r>
          </w:p>
        </w:tc>
      </w:tr>
      <w:tr>
        <w:tc>
          <w:tcPr>
            <w:tcW w:type="dxa" w:w="2200"/>
            <w:tcMar>
              <w:top w:type="dxa" w:w="100"/>
              <w:left w:type="dxa" w:w="120"/>
              <w:bottom w:type="dxa" w:w="100"/>
              <w:right w:type="dxa" w:w="120"/>
            </w:tcMar>
          </w:tcPr>
          <w:p>
            <w:r>
              <w:rPr>
                <w:b w:val="false"/>
                <w:bCs w:val="false"/>
                <w:sz w:val="20"/>
                <w:szCs w:val="20"/>
              </w:rPr>
              <w:t xml:space="preserve">Sedang Berjalan</w:t>
            </w:r>
          </w:p>
        </w:tc>
        <w:tc>
          <w:tcPr>
            <w:tcW w:type="dxa" w:w="7150"/>
            <w:tcMar>
              <w:top w:type="dxa" w:w="100"/>
              <w:left w:type="dxa" w:w="120"/>
              <w:bottom w:type="dxa" w:w="100"/>
              <w:right w:type="dxa" w:w="120"/>
            </w:tcMar>
          </w:tcPr>
          <w:p>
            <w:r>
              <w:rPr>
                <w:b w:val="false"/>
                <w:bCs w:val="false"/>
                <w:sz w:val="20"/>
                <w:szCs w:val="20"/>
              </w:rPr>
              <w:t xml:space="preserve">Sudah ada transaksi pembayaran (termasuk pencatatan Kesanggupan Bayar) namun total yang tercatat belum mencapai nilai acuan Order.</w:t>
            </w:r>
          </w:p>
        </w:tc>
      </w:tr>
      <w:tr>
        <w:tc>
          <w:tcPr>
            <w:tcW w:type="dxa" w:w="2200"/>
            <w:tcMar>
              <w:top w:type="dxa" w:w="100"/>
              <w:left w:type="dxa" w:w="120"/>
              <w:bottom w:type="dxa" w:w="100"/>
              <w:right w:type="dxa" w:w="120"/>
            </w:tcMar>
          </w:tcPr>
          <w:p>
            <w:r>
              <w:rPr>
                <w:b w:val="false"/>
                <w:bCs w:val="false"/>
                <w:sz w:val="20"/>
                <w:szCs w:val="20"/>
              </w:rPr>
              <w:t xml:space="preserve">Lunas</w:t>
            </w:r>
          </w:p>
        </w:tc>
        <w:tc>
          <w:tcPr>
            <w:tcW w:type="dxa" w:w="7150"/>
            <w:tcMar>
              <w:top w:type="dxa" w:w="100"/>
              <w:left w:type="dxa" w:w="120"/>
              <w:bottom w:type="dxa" w:w="100"/>
              <w:right w:type="dxa" w:w="120"/>
            </w:tcMar>
          </w:tcPr>
          <w:p>
            <w:r>
              <w:rPr>
                <w:b w:val="false"/>
                <w:bCs w:val="false"/>
                <w:sz w:val="20"/>
                <w:szCs w:val="20"/>
              </w:rPr>
              <w:t xml:space="preserve">Total pembayaran yang tercatat telah mencapai atau melebihi nilai acuan Order; tanggal lunas diambil dari tanggal transaksi terakhir.</w:t>
            </w:r>
          </w:p>
        </w:tc>
      </w:tr>
      <w:tr>
        <w:tc>
          <w:tcPr>
            <w:tcW w:type="dxa" w:w="2200"/>
            <w:tcMar>
              <w:top w:type="dxa" w:w="100"/>
              <w:left w:type="dxa" w:w="120"/>
              <w:bottom w:type="dxa" w:w="100"/>
              <w:right w:type="dxa" w:w="120"/>
            </w:tcMar>
          </w:tcPr>
          <w:p>
            <w:r>
              <w:rPr>
                <w:b w:val="false"/>
                <w:bCs w:val="false"/>
                <w:sz w:val="20"/>
                <w:szCs w:val="20"/>
              </w:rPr>
              <w:t xml:space="preserve">Histori</w:t>
            </w:r>
          </w:p>
        </w:tc>
        <w:tc>
          <w:tcPr>
            <w:tcW w:type="dxa" w:w="7150"/>
            <w:tcMar>
              <w:top w:type="dxa" w:w="100"/>
              <w:left w:type="dxa" w:w="120"/>
              <w:bottom w:type="dxa" w:w="100"/>
              <w:right w:type="dxa" w:w="120"/>
            </w:tcMar>
          </w:tcPr>
          <w:p>
            <w:r>
              <w:rPr>
                <w:b w:val="false"/>
                <w:bCs w:val="false"/>
                <w:sz w:val="20"/>
                <w:szCs w:val="20"/>
              </w:rPr>
              <w:t xml:space="preserve">Seluruh transaksi pembayaran mentah lintas Order, dapat ditelusuri per periode.</w:t>
            </w:r>
          </w:p>
        </w:tc>
      </w:tr>
    </w:tbl>
    <w:p>
      <w:pPr>
        <w:pStyle w:val="ListParagraph"/>
        <w:numPr>
          <w:ilvl w:val="0"/>
          <w:numId w:val="3"/>
        </w:numPr>
        <w:spacing w:after="80"/>
      </w:pPr>
      <w:r>
        <w:rPr>
          <w:sz w:val="21"/>
          <w:szCs w:val="21"/>
        </w:rPr>
        <w:t xml:space="preserve">Setiap tab memiliki filter pencarian (nomor order/nama mitra), divisi, bulan, dan tahun yang berdiri sendiri — berpindah tab tidak membawa filter tab lain, namun tetap diingat bila pengguna kembali ke tab tersebut.</w:t>
      </w:r>
    </w:p>
    <w:p>
      <w:pPr>
        <w:pStyle w:val="ListParagraph"/>
        <w:numPr>
          <w:ilvl w:val="0"/>
          <w:numId w:val="3"/>
        </w:numPr>
        <w:spacing w:after="80"/>
      </w:pPr>
      <w:r>
        <w:rPr>
          <w:sz w:val="21"/>
          <w:szCs w:val="21"/>
        </w:rPr>
        <w:t xml:space="preserve">Tab Lunas dan Histori secara default hanya menampilkan periode bulan berjalan, dengan indikator yang menjelaskan filter periode yang sedang aktif; data bulan lain tetap dapat diakses dengan mengganti filter secara manual.</w:t>
      </w:r>
    </w:p>
    <w:p>
      <w:pPr>
        <w:pStyle w:val="ListParagraph"/>
        <w:numPr>
          <w:ilvl w:val="0"/>
          <w:numId w:val="3"/>
        </w:numPr>
        <w:spacing w:after="80"/>
      </w:pPr>
      <w:r>
        <w:rPr>
          <w:sz w:val="21"/>
          <w:szCs w:val="21"/>
        </w:rPr>
        <w:t xml:space="preserve">Form pencatatan pembayaran memvalidasi nominal secara langsung: nominal yang melebihi sisa tagihan Order ditolak sistem sebelum data tersimpan, disertai keterangan selisih kelebihannya, guna mencegah kesalahan penulisan angka.</w:t>
      </w:r>
    </w:p>
    <w:p>
      <w:pPr>
        <w:pStyle w:val="ListParagraph"/>
        <w:numPr>
          <w:ilvl w:val="0"/>
          <w:numId w:val="3"/>
        </w:numPr>
        <w:spacing w:after="80"/>
      </w:pPr>
      <w:r>
        <w:rPr>
          <w:sz w:val="21"/>
          <w:szCs w:val="21"/>
        </w:rPr>
        <w:t xml:space="preserve">Bukti pembayaran wajib diunggah (PDF/JPG/PNG) kecuali pada jalur Surat Kesanggupan Bayar; nomor termin otomatis tersaran berdasarkan jumlah transaksi valid sebelumnya, namun tetap dapat diganti manual.</w:t>
      </w:r>
    </w:p>
    <w:p>
      <w:pPr>
        <w:pStyle w:val="ListParagraph"/>
        <w:numPr>
          <w:ilvl w:val="0"/>
          <w:numId w:val="3"/>
        </w:numPr>
        <w:spacing w:after="80"/>
      </w:pPr>
      <w:r>
        <w:rPr>
          <w:sz w:val="21"/>
          <w:szCs w:val="21"/>
        </w:rPr>
        <w:t xml:space="preserve">Nominal yang diketik ditampilkan otomatis dengan pemisah ribuan beserta terbilangnya, untuk memudahkan verifikasi visual sebelum disimpan.</w:t>
      </w:r>
    </w:p>
    <w:p>
      <w:pPr>
        <w:pStyle w:val="ListParagraph"/>
        <w:numPr>
          <w:ilvl w:val="0"/>
          <w:numId w:val="3"/>
        </w:numPr>
        <w:spacing w:after="80"/>
      </w:pPr>
      <w:r>
        <w:rPr>
          <w:sz w:val="21"/>
          <w:szCs w:val="21"/>
        </w:rPr>
        <w:t xml:space="preserve">Tampilan menyesuaikan perangkat: tabel pada layar besar, kartu ringkas pada layar ponsel.</w:t>
      </w:r>
    </w:p>
    <w:p>
      <w:pPr>
        <w:pStyle w:val="Heading1"/>
        <w:spacing w:after="140" w:before="320"/>
      </w:pPr>
      <w:r>
        <w:rPr>
          <w:b/>
          <w:bCs/>
          <w:color w:val="881337"/>
          <w:sz w:val="26"/>
          <w:szCs w:val="26"/>
        </w:rPr>
        <w:t xml:space="preserve">9. Struktur Data Konseptual</w:t>
      </w:r>
    </w:p>
    <w:p>
      <w:pPr>
        <w:spacing w:after="140"/>
        <w:jc w:val="both"/>
      </w:pPr>
      <w:r>
        <w:rPr>
          <w:b w:val="false"/>
          <w:bCs w:val="false"/>
          <w:i w:val="false"/>
          <w:iCs w:val="false"/>
          <w:sz w:val="21"/>
          <w:szCs w:val="21"/>
        </w:rPr>
        <w:t xml:space="preserve">Order (Header) → Surat Penawaran (1..n revisi) → Pembayaran (1..n transaksi termin) → PO Kegiatan (RAB, Jadwal, Tim Pelaksana) → BAST.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F1F5F9" w:val="clear"/>
            <w:tcMar>
              <w:top w:type="dxa" w:w="100"/>
              <w:left w:type="dxa" w:w="120"/>
              <w:bottom w:type="dxa" w:w="100"/>
              <w:right w:type="dxa" w:w="120"/>
            </w:tcMar>
          </w:tcPr>
          <w:p>
            <w:r>
              <w:rPr>
                <w:b/>
                <w:bCs/>
                <w:sz w:val="20"/>
                <w:szCs w:val="20"/>
              </w:rPr>
              <w:t xml:space="preserve">Entitas</w:t>
            </w:r>
          </w:p>
        </w:tc>
        <w:tc>
          <w:tcPr>
            <w:tcW w:type="dxa" w:w="6950"/>
            <w:shd w:fill="F1F5F9" w:val="clear"/>
            <w:tcMar>
              <w:top w:type="dxa" w:w="100"/>
              <w:left w:type="dxa" w:w="120"/>
              <w:bottom w:type="dxa" w:w="100"/>
              <w:right w:type="dxa" w:w="120"/>
            </w:tcMar>
          </w:tcPr>
          <w:p>
            <w:r>
              <w:rPr>
                <w:b/>
                <w:bCs/>
                <w:sz w:val="20"/>
                <w:szCs w:val="20"/>
              </w:rPr>
              <w:t xml:space="preserve">Keterangan</w:t>
            </w:r>
          </w:p>
        </w:tc>
      </w:tr>
      <w:tr>
        <w:tc>
          <w:tcPr>
            <w:tcW w:type="dxa" w:w="2400"/>
            <w:tcMar>
              <w:top w:type="dxa" w:w="100"/>
              <w:left w:type="dxa" w:w="120"/>
              <w:bottom w:type="dxa" w:w="100"/>
              <w:right w:type="dxa" w:w="120"/>
            </w:tcMar>
          </w:tcPr>
          <w:p>
            <w:r>
              <w:rPr>
                <w:b w:val="false"/>
                <w:bCs w:val="false"/>
                <w:sz w:val="20"/>
                <w:szCs w:val="20"/>
              </w:rPr>
              <w:t xml:space="preserve">Order Layanan</w:t>
            </w:r>
          </w:p>
        </w:tc>
        <w:tc>
          <w:tcPr>
            <w:tcW w:type="dxa" w:w="6950"/>
            <w:tcMar>
              <w:top w:type="dxa" w:w="100"/>
              <w:left w:type="dxa" w:w="120"/>
              <w:bottom w:type="dxa" w:w="100"/>
              <w:right w:type="dxa" w:w="120"/>
            </w:tcMar>
          </w:tcPr>
          <w:p>
            <w:r>
              <w:rPr>
                <w:b w:val="false"/>
                <w:bCs w:val="false"/>
                <w:sz w:val="20"/>
                <w:szCs w:val="20"/>
              </w:rPr>
              <w:t xml:space="preserve">Nomor order, pelanggan, judul kegiatan, divisi (Selulosa/Lingkungan), status alur, status keuangan, tautan ke surat masuk asal.</w:t>
            </w:r>
          </w:p>
        </w:tc>
      </w:tr>
      <w:tr>
        <w:tc>
          <w:tcPr>
            <w:tcW w:type="dxa" w:w="2400"/>
            <w:tcMar>
              <w:top w:type="dxa" w:w="100"/>
              <w:left w:type="dxa" w:w="120"/>
              <w:bottom w:type="dxa" w:w="100"/>
              <w:right w:type="dxa" w:w="120"/>
            </w:tcMar>
          </w:tcPr>
          <w:p>
            <w:r>
              <w:rPr>
                <w:b w:val="false"/>
                <w:bCs w:val="false"/>
                <w:sz w:val="20"/>
                <w:szCs w:val="20"/>
              </w:rPr>
              <w:t xml:space="preserve">Surat Penawaran</w:t>
            </w:r>
          </w:p>
        </w:tc>
        <w:tc>
          <w:tcPr>
            <w:tcW w:type="dxa" w:w="6950"/>
            <w:tcMar>
              <w:top w:type="dxa" w:w="100"/>
              <w:left w:type="dxa" w:w="120"/>
              <w:bottom w:type="dxa" w:w="100"/>
              <w:right w:type="dxa" w:w="120"/>
            </w:tcMar>
          </w:tcPr>
          <w:p>
            <w:r>
              <w:rPr>
                <w:b w:val="false"/>
                <w:bCs w:val="false"/>
                <w:sz w:val="20"/>
                <w:szCs w:val="20"/>
              </w:rPr>
              <w:t xml:space="preserve">Nomor surat, tanggal, nominal penawaran, status respon klien (deal/nego/batal), catatan negosiasi, riwayat revisi, Surat Kesanggupan Bayar (opsional).</w:t>
            </w:r>
          </w:p>
        </w:tc>
      </w:tr>
      <w:tr>
        <w:tc>
          <w:tcPr>
            <w:tcW w:type="dxa" w:w="2400"/>
            <w:tcMar>
              <w:top w:type="dxa" w:w="100"/>
              <w:left w:type="dxa" w:w="120"/>
              <w:bottom w:type="dxa" w:w="100"/>
              <w:right w:type="dxa" w:w="120"/>
            </w:tcMar>
          </w:tcPr>
          <w:p>
            <w:r>
              <w:rPr>
                <w:b w:val="false"/>
                <w:bCs w:val="false"/>
                <w:sz w:val="20"/>
                <w:szCs w:val="20"/>
              </w:rPr>
              <w:t xml:space="preserve">Pembayaran</w:t>
            </w:r>
          </w:p>
        </w:tc>
        <w:tc>
          <w:tcPr>
            <w:tcW w:type="dxa" w:w="6950"/>
            <w:tcMar>
              <w:top w:type="dxa" w:w="100"/>
              <w:left w:type="dxa" w:w="120"/>
              <w:bottom w:type="dxa" w:w="100"/>
              <w:right w:type="dxa" w:w="120"/>
            </w:tcMar>
          </w:tcPr>
          <w:p>
            <w:r>
              <w:rPr>
                <w:b w:val="false"/>
                <w:bCs w:val="false"/>
                <w:sz w:val="20"/>
                <w:szCs w:val="20"/>
              </w:rPr>
              <w:t xml:space="preserve">Order terkait, nomor termin, tanggal bayar, nominal, metode, bukti bayar, status verifikasi, penanda Kesanggupan Bayar.</w:t>
            </w:r>
          </w:p>
        </w:tc>
      </w:tr>
      <w:tr>
        <w:tc>
          <w:tcPr>
            <w:tcW w:type="dxa" w:w="2400"/>
            <w:tcMar>
              <w:top w:type="dxa" w:w="100"/>
              <w:left w:type="dxa" w:w="120"/>
              <w:bottom w:type="dxa" w:w="100"/>
              <w:right w:type="dxa" w:w="120"/>
            </w:tcMar>
          </w:tcPr>
          <w:p>
            <w:r>
              <w:rPr>
                <w:b w:val="false"/>
                <w:bCs w:val="false"/>
                <w:sz w:val="20"/>
                <w:szCs w:val="20"/>
              </w:rPr>
              <w:t xml:space="preserve">PO Kegiatan</w:t>
            </w:r>
          </w:p>
        </w:tc>
        <w:tc>
          <w:tcPr>
            <w:tcW w:type="dxa" w:w="6950"/>
            <w:tcMar>
              <w:top w:type="dxa" w:w="100"/>
              <w:left w:type="dxa" w:w="120"/>
              <w:bottom w:type="dxa" w:w="100"/>
              <w:right w:type="dxa" w:w="120"/>
            </w:tcMar>
          </w:tcPr>
          <w:p>
            <w:r>
              <w:rPr>
                <w:b w:val="false"/>
                <w:bCs w:val="false"/>
                <w:sz w:val="20"/>
                <w:szCs w:val="20"/>
              </w:rPr>
              <w:t xml:space="preserve">Order terkait, Dasar, Tujuan, Ruang Lingkup, Alat &amp; Bahan/Metoda (struktur per divisi), RAB, Jadwal Kegiatan, Tim Pelaksana.</w:t>
            </w:r>
          </w:p>
        </w:tc>
      </w:tr>
      <w:tr>
        <w:tc>
          <w:tcPr>
            <w:tcW w:type="dxa" w:w="2400"/>
            <w:tcMar>
              <w:top w:type="dxa" w:w="100"/>
              <w:left w:type="dxa" w:w="120"/>
              <w:bottom w:type="dxa" w:w="100"/>
              <w:right w:type="dxa" w:w="120"/>
            </w:tcMar>
          </w:tcPr>
          <w:p>
            <w:r>
              <w:rPr>
                <w:b w:val="false"/>
                <w:bCs w:val="false"/>
                <w:sz w:val="20"/>
                <w:szCs w:val="20"/>
              </w:rPr>
              <w:t xml:space="preserve">Surat Masuk (Arsip)</w:t>
            </w:r>
          </w:p>
        </w:tc>
        <w:tc>
          <w:tcPr>
            <w:tcW w:type="dxa" w:w="6950"/>
            <w:tcMar>
              <w:top w:type="dxa" w:w="100"/>
              <w:left w:type="dxa" w:w="120"/>
              <w:bottom w:type="dxa" w:w="100"/>
              <w:right w:type="dxa" w:w="120"/>
            </w:tcMar>
          </w:tcPr>
          <w:p>
            <w:r>
              <w:rPr>
                <w:b w:val="false"/>
                <w:bCs w:val="false"/>
                <w:sz w:val="20"/>
                <w:szCs w:val="20"/>
              </w:rPr>
              <w:t xml:space="preserve">Nomor surat, perihal, tanggal, jenis layanan OPTI, status klaim, berkas asli, pelanggan pengirim (bila sudah cocok).</w:t>
            </w:r>
          </w:p>
        </w:tc>
      </w:tr>
      <w:tr>
        <w:tc>
          <w:tcPr>
            <w:tcW w:type="dxa" w:w="2400"/>
            <w:tcMar>
              <w:top w:type="dxa" w:w="100"/>
              <w:left w:type="dxa" w:w="120"/>
              <w:bottom w:type="dxa" w:w="100"/>
              <w:right w:type="dxa" w:w="120"/>
            </w:tcMar>
          </w:tcPr>
          <w:p>
            <w:r>
              <w:rPr>
                <w:b w:val="false"/>
                <w:bCs w:val="false"/>
                <w:sz w:val="20"/>
                <w:szCs w:val="20"/>
              </w:rPr>
              <w:t xml:space="preserve">Pelanggan (Customer)</w:t>
            </w:r>
          </w:p>
        </w:tc>
        <w:tc>
          <w:tcPr>
            <w:tcW w:type="dxa" w:w="6950"/>
            <w:tcMar>
              <w:top w:type="dxa" w:w="100"/>
              <w:left w:type="dxa" w:w="120"/>
              <w:bottom w:type="dxa" w:w="100"/>
              <w:right w:type="dxa" w:w="120"/>
            </w:tcMar>
          </w:tcPr>
          <w:p>
            <w:r>
              <w:rPr>
                <w:b w:val="false"/>
                <w:bCs w:val="false"/>
                <w:sz w:val="20"/>
                <w:szCs w:val="20"/>
              </w:rPr>
              <w:t xml:space="preserve">Identitas resmi mitra industri, kontak person, status keterdaftaran layanan OPTI.</w:t>
            </w:r>
          </w:p>
        </w:tc>
      </w:tr>
    </w:tbl>
    <w:p>
      <w:pPr>
        <w:pStyle w:val="Heading1"/>
        <w:spacing w:after="140" w:before="320"/>
      </w:pPr>
      <w:r>
        <w:rPr>
          <w:b/>
          <w:bCs/>
          <w:color w:val="881337"/>
          <w:sz w:val="26"/>
          <w:szCs w:val="26"/>
        </w:rPr>
        <w:t xml:space="preserve">10. Integrasi dengan Sistem Kearsipan Sekretariat</w:t>
      </w:r>
    </w:p>
    <w:p>
      <w:pPr>
        <w:pStyle w:val="ListParagraph"/>
        <w:numPr>
          <w:ilvl w:val="0"/>
          <w:numId w:val="3"/>
        </w:numPr>
        <w:spacing w:after="80"/>
      </w:pPr>
      <w:r>
        <w:rPr>
          <w:sz w:val="21"/>
          <w:szCs w:val="21"/>
        </w:rPr>
        <w:t xml:space="preserve">SILOPTI membaca data surat masuk dari basis data kearsipan Sekretariat sebagai sumber (bukan menyalin/menduplikasi arsip), dengan tiga syarat kelayakan tampil pada antrean: status permohonan, jenis layanan OPTI sudah ditentukan, dan status klaim masih kosong.</w:t>
      </w:r>
    </w:p>
    <w:p>
      <w:pPr>
        <w:pStyle w:val="ListParagraph"/>
        <w:numPr>
          <w:ilvl w:val="0"/>
          <w:numId w:val="3"/>
        </w:numPr>
        <w:spacing w:after="80"/>
      </w:pPr>
      <w:r>
        <w:rPr>
          <w:sz w:val="21"/>
          <w:szCs w:val="21"/>
        </w:rPr>
        <w:t xml:space="preserve">Begitu surat diklaim, status klaim diperbarui pada basis data kearsipan itu sendiri (bukan hanya dicatat di sisi SILOPTI), sehingga surat yang sama tidak dapat diklaim dua kali dari sumber manapun.</w:t>
      </w:r>
    </w:p>
    <w:p>
      <w:pPr>
        <w:pStyle w:val="ListParagraph"/>
        <w:numPr>
          <w:ilvl w:val="0"/>
          <w:numId w:val="3"/>
        </w:numPr>
        <w:spacing w:after="80"/>
      </w:pPr>
      <w:r>
        <w:rPr>
          <w:sz w:val="21"/>
          <w:szCs w:val="21"/>
        </w:rPr>
        <w:t xml:space="preserve">Berkas PDF/Word asli surat dapat dipratinjau langsung dari SILOPTI tanpa berpindah aplikasi maupun mengunduh berkas terlebih dahulu.</w:t>
      </w:r>
    </w:p>
    <w:p>
      <w:pPr>
        <w:pStyle w:val="Heading1"/>
        <w:spacing w:after="140" w:before="320"/>
      </w:pPr>
      <w:r>
        <w:rPr>
          <w:b/>
          <w:bCs/>
          <w:color w:val="881337"/>
          <w:sz w:val="26"/>
          <w:szCs w:val="26"/>
        </w:rPr>
        <w:t xml:space="preserve">11. Fitur Cetak Dokumen</w:t>
      </w:r>
    </w:p>
    <w:p>
      <w:pPr>
        <w:pStyle w:val="ListParagraph"/>
        <w:numPr>
          <w:ilvl w:val="0"/>
          <w:numId w:val="3"/>
        </w:numPr>
        <w:spacing w:after="80"/>
      </w:pPr>
      <w:r>
        <w:rPr>
          <w:sz w:val="21"/>
          <w:szCs w:val="21"/>
        </w:rPr>
        <w:t xml:space="preserve">Surat Penawaran Resmi dapat dicetak per revisi dalam format PDF resmi berkop instansi.</w:t>
      </w:r>
    </w:p>
    <w:p>
      <w:pPr>
        <w:pStyle w:val="ListParagraph"/>
        <w:numPr>
          <w:ilvl w:val="0"/>
          <w:numId w:val="3"/>
        </w:numPr>
        <w:spacing w:after="80"/>
      </w:pPr>
      <w:r>
        <w:rPr>
          <w:sz w:val="21"/>
          <w:szCs w:val="21"/>
        </w:rPr>
        <w:t xml:space="preserve">PO Kegiatan dapat dicetak sebagai dokumen PDF vektor (teks asli, bukan gambar hasil tangkapan layar), dengan tata letak dan margin yang konsisten untuk arsip maupun tanda tangan basah, termasuk tabel Jadwal Kegiatan yang menyesuaikan lebar halaman meski kolom tanggalnya banyak.</w:t>
      </w:r>
    </w:p>
    <w:p>
      <w:pPr>
        <w:pStyle w:val="ListParagraph"/>
        <w:numPr>
          <w:ilvl w:val="0"/>
          <w:numId w:val="3"/>
        </w:numPr>
        <w:spacing w:after="80"/>
      </w:pPr>
      <w:r>
        <w:rPr>
          <w:sz w:val="21"/>
          <w:szCs w:val="21"/>
        </w:rPr>
        <w:t xml:space="preserve">Pratinjau dokumen di dalam aplikasi ditampilkan melalui jendela pop-up (modal) tanpa berpindah halaman, sedangkan hasil cetak resmi tetap diproses di sisi peladen agar hasilnya konsisten di perangkat manapun.</w:t>
      </w:r>
    </w:p>
    <w:p>
      <w:pPr>
        <w:pStyle w:val="Heading1"/>
        <w:spacing w:after="140" w:before="320"/>
      </w:pPr>
      <w:r>
        <w:rPr>
          <w:b/>
          <w:bCs/>
          <w:color w:val="881337"/>
          <w:sz w:val="26"/>
          <w:szCs w:val="26"/>
        </w:rPr>
        <w:t xml:space="preserve">12. Aturan Data Penting</w:t>
      </w:r>
    </w:p>
    <w:p>
      <w:pPr>
        <w:pStyle w:val="ListParagraph"/>
        <w:numPr>
          <w:ilvl w:val="0"/>
          <w:numId w:val="3"/>
        </w:numPr>
        <w:spacing w:after="80"/>
      </w:pPr>
      <w:r>
        <w:rPr>
          <w:sz w:val="21"/>
          <w:szCs w:val="21"/>
        </w:rPr>
        <w:t xml:space="preserve">Nomor Order, Surat Penawaran, dan PO Kegiatan digenerate otomatis oleh sistem, tidak dapat diedit manual.</w:t>
      </w:r>
    </w:p>
    <w:p>
      <w:pPr>
        <w:pStyle w:val="ListParagraph"/>
        <w:numPr>
          <w:ilvl w:val="0"/>
          <w:numId w:val="3"/>
        </w:numPr>
        <w:spacing w:after="80"/>
      </w:pPr>
      <w:r>
        <w:rPr>
          <w:sz w:val="21"/>
          <w:szCs w:val="21"/>
        </w:rPr>
        <w:t xml:space="preserve">Satu surat masuk hanya dapat diklaim satu kali; percobaan klaim kedua akan ditolak sistem.</w:t>
      </w:r>
    </w:p>
    <w:p>
      <w:pPr>
        <w:pStyle w:val="ListParagraph"/>
        <w:numPr>
          <w:ilvl w:val="0"/>
          <w:numId w:val="3"/>
        </w:numPr>
        <w:spacing w:after="80"/>
      </w:pPr>
      <w:r>
        <w:rPr>
          <w:sz w:val="21"/>
          <w:szCs w:val="21"/>
        </w:rPr>
        <w:t xml:space="preserve">Nominal pembayaran yang melebihi sisa tagihan Order ditolak baik pada sisi antarmuka maupun pada sisi peladen, sebagai lapisan pengaman ganda.</w:t>
      </w:r>
    </w:p>
    <w:p>
      <w:pPr>
        <w:pStyle w:val="ListParagraph"/>
        <w:numPr>
          <w:ilvl w:val="0"/>
          <w:numId w:val="3"/>
        </w:numPr>
        <w:spacing w:after="80"/>
      </w:pPr>
      <w:r>
        <w:rPr>
          <w:sz w:val="21"/>
          <w:szCs w:val="21"/>
        </w:rPr>
        <w:t xml:space="preserve">Opsi Surat Kesanggupan Bayar hanya tersedia pada Order yang benar-benar memiliki berkas kesanggupan terlampir.</w:t>
      </w:r>
    </w:p>
    <w:p>
      <w:pPr>
        <w:pStyle w:val="ListParagraph"/>
        <w:numPr>
          <w:ilvl w:val="0"/>
          <w:numId w:val="3"/>
        </w:numPr>
        <w:spacing w:after="80"/>
      </w:pPr>
      <w:r>
        <w:rPr>
          <w:sz w:val="21"/>
          <w:szCs w:val="21"/>
        </w:rPr>
        <w:t xml:space="preserve">Status keuangan Order (Baru Masuk/Sedang Berjalan/Lunas) selalu dihitung langsung dari riwayat transaksi pembayaran saat data ditampilkan, bukan disimpan sebagai nilai statis yang berisiko kedaluwarsa.</w:t>
      </w:r>
    </w:p>
    <w:p>
      <w:pPr>
        <w:pStyle w:val="ListParagraph"/>
        <w:numPr>
          <w:ilvl w:val="0"/>
          <w:numId w:val="3"/>
        </w:numPr>
        <w:spacing w:after="80"/>
      </w:pPr>
      <w:r>
        <w:rPr>
          <w:sz w:val="21"/>
          <w:szCs w:val="21"/>
        </w:rPr>
        <w:t xml:space="preserve">Nama pelanggan dapat disamarkan (masking) pada tampilan tertentu sesuai pengaturan privasi yang diaktifkan Superadmin, untuk menjaga kerahasiaan data mitra industri bila diperlukan.</w:t>
      </w:r>
    </w:p>
    <w:p>
      <w:pPr>
        <w:pStyle w:val="Heading1"/>
        <w:spacing w:after="140" w:before="320"/>
      </w:pPr>
      <w:r>
        <w:rPr>
          <w:b/>
          <w:bCs/>
          <w:color w:val="881337"/>
          <w:sz w:val="26"/>
          <w:szCs w:val="26"/>
        </w:rPr>
        <w:t xml:space="preserve">13. Audit Trail dan Notifikasi</w:t>
      </w:r>
    </w:p>
    <w:p>
      <w:pPr>
        <w:pStyle w:val="Heading2"/>
        <w:spacing w:after="100" w:before="220"/>
      </w:pPr>
      <w:r>
        <w:rPr>
          <w:b/>
          <w:bCs/>
          <w:color w:val="1f2937"/>
          <w:sz w:val="23"/>
          <w:szCs w:val="23"/>
        </w:rPr>
        <w:t xml:space="preserve">13.1 Audit Trail</w:t>
      </w:r>
    </w:p>
    <w:p>
      <w:pPr>
        <w:spacing w:after="140"/>
        <w:jc w:val="both"/>
      </w:pPr>
      <w:r>
        <w:rPr>
          <w:b w:val="false"/>
          <w:bCs w:val="false"/>
          <w:i w:val="false"/>
          <w:iCs w:val="false"/>
          <w:sz w:val="21"/>
          <w:szCs w:val="21"/>
        </w:rPr>
        <w:t xml:space="preserve">Setiap tindakan pada tahap persetujuan (klaim surat, tinjauan kelayakan, respon klien, verifikasi pembayaran) minimal mencatat: Order/dokumen terkait, pengguna dan peran yang bertindak, waktu tindakan, jenis tindakan, serta catatan/alasan bila ada.</w:t>
      </w:r>
    </w:p>
    <w:p>
      <w:pPr>
        <w:pStyle w:val="Heading2"/>
        <w:spacing w:after="100" w:before="220"/>
      </w:pPr>
      <w:r>
        <w:rPr>
          <w:b/>
          <w:bCs/>
          <w:color w:val="1f2937"/>
          <w:sz w:val="23"/>
          <w:szCs w:val="23"/>
        </w:rPr>
        <w:t xml:space="preserve">13.2 Notifikasi</w:t>
      </w:r>
    </w:p>
    <w:p>
      <w:pPr>
        <w:pStyle w:val="ListParagraph"/>
        <w:numPr>
          <w:ilvl w:val="0"/>
          <w:numId w:val="3"/>
        </w:numPr>
        <w:spacing w:after="80"/>
      </w:pPr>
      <w:r>
        <w:rPr>
          <w:sz w:val="21"/>
          <w:szCs w:val="21"/>
        </w:rPr>
        <w:t xml:space="preserve">Order baru menunggu tindak lanjut (ke Ketua Tim terkait divisi).</w:t>
      </w:r>
    </w:p>
    <w:p>
      <w:pPr>
        <w:pStyle w:val="ListParagraph"/>
        <w:numPr>
          <w:ilvl w:val="0"/>
          <w:numId w:val="3"/>
        </w:numPr>
        <w:spacing w:after="80"/>
      </w:pPr>
      <w:r>
        <w:rPr>
          <w:sz w:val="21"/>
          <w:szCs w:val="21"/>
        </w:rPr>
        <w:t xml:space="preserve">Order Deal, menunggu verifikasi pembayaran oleh Staf Keuangan.</w:t>
      </w:r>
    </w:p>
    <w:p>
      <w:pPr>
        <w:pStyle w:val="ListParagraph"/>
        <w:numPr>
          <w:ilvl w:val="0"/>
          <w:numId w:val="3"/>
        </w:numPr>
        <w:spacing w:after="80"/>
      </w:pPr>
      <w:r>
        <w:rPr>
          <w:sz w:val="21"/>
          <w:szCs w:val="21"/>
        </w:rPr>
        <w:t xml:space="preserve">Perubahan status penawaran (deal/nego/batal) kepada pihak terkait.</w:t>
      </w:r>
    </w:p>
    <w:p>
      <w:pPr>
        <w:pStyle w:val="Heading1"/>
        <w:spacing w:after="140" w:before="320"/>
      </w:pPr>
      <w:r>
        <w:rPr>
          <w:b/>
          <w:bCs/>
          <w:color w:val="881337"/>
          <w:sz w:val="26"/>
          <w:szCs w:val="26"/>
        </w:rPr>
        <w:t xml:space="preserve">14. Dashboard SILOPTI</w:t>
      </w:r>
    </w:p>
    <w:p>
      <w:pPr>
        <w:pStyle w:val="ListParagraph"/>
        <w:numPr>
          <w:ilvl w:val="0"/>
          <w:numId w:val="3"/>
        </w:numPr>
        <w:spacing w:after="80"/>
      </w:pPr>
      <w:r>
        <w:rPr>
          <w:sz w:val="21"/>
          <w:szCs w:val="21"/>
        </w:rPr>
        <w:t xml:space="preserve">Ringkasan status berbasis peran (role), menampilkan jumlah Order aktif, menunggu tindakan pada meja pengguna yang sedang login, serta ringkasan status keuangan.</w:t>
      </w:r>
    </w:p>
    <w:p>
      <w:pPr>
        <w:pStyle w:val="ListParagraph"/>
        <w:numPr>
          <w:ilvl w:val="0"/>
          <w:numId w:val="3"/>
        </w:numPr>
        <w:spacing w:after="80"/>
      </w:pPr>
      <w:r>
        <w:rPr>
          <w:sz w:val="21"/>
          <w:szCs w:val="21"/>
        </w:rPr>
        <w:t xml:space="preserve">Notifikasi dan aktivitas terbaru yang relevan dengan peran pengguna.</w:t>
      </w:r>
    </w:p>
    <w:p>
      <w:pPr>
        <w:pStyle w:val="Heading1"/>
        <w:spacing w:after="140" w:before="320"/>
      </w:pPr>
      <w:r>
        <w:rPr>
          <w:b/>
          <w:bCs/>
          <w:color w:val="881337"/>
          <w:sz w:val="26"/>
          <w:szCs w:val="26"/>
        </w:rPr>
        <w:t xml:space="preserve">15. Kebutuhan Non-Fungsional</w:t>
      </w:r>
    </w:p>
    <w:p>
      <w:pPr>
        <w:pStyle w:val="ListParagraph"/>
        <w:numPr>
          <w:ilvl w:val="0"/>
          <w:numId w:val="3"/>
        </w:numPr>
        <w:spacing w:after="80"/>
      </w:pPr>
      <w:r>
        <w:rPr>
          <w:sz w:val="21"/>
          <w:szCs w:val="21"/>
        </w:rPr>
        <w:t xml:space="preserve">Berbasis web, responsive, dapat diakses dari perangkat desktop maupun ponsel.</w:t>
      </w:r>
    </w:p>
    <w:p>
      <w:pPr>
        <w:pStyle w:val="ListParagraph"/>
        <w:numPr>
          <w:ilvl w:val="0"/>
          <w:numId w:val="3"/>
        </w:numPr>
        <w:spacing w:after="80"/>
      </w:pPr>
      <w:r>
        <w:rPr>
          <w:sz w:val="21"/>
          <w:szCs w:val="21"/>
        </w:rPr>
        <w:t xml:space="preserve">Role Based Access Control sesuai peran pada Bab 4, termasuk pembedaan struktur formulir PO Kegiatan per divisi.</w:t>
      </w:r>
    </w:p>
    <w:p>
      <w:pPr>
        <w:pStyle w:val="ListParagraph"/>
        <w:numPr>
          <w:ilvl w:val="0"/>
          <w:numId w:val="3"/>
        </w:numPr>
        <w:spacing w:after="80"/>
      </w:pPr>
      <w:r>
        <w:rPr>
          <w:sz w:val="21"/>
          <w:szCs w:val="21"/>
        </w:rPr>
        <w:t xml:space="preserve">Validasi keamanan berkas unggahan (ekstensi maupun isi berkas) pada seluruh titik unggah, termasuk Surat Kesanggupan Bayar dan bukti pembayaran.</w:t>
      </w:r>
    </w:p>
    <w:p>
      <w:pPr>
        <w:pStyle w:val="ListParagraph"/>
        <w:numPr>
          <w:ilvl w:val="0"/>
          <w:numId w:val="3"/>
        </w:numPr>
        <w:spacing w:after="80"/>
      </w:pPr>
      <w:r>
        <w:rPr>
          <w:sz w:val="21"/>
          <w:szCs w:val="21"/>
        </w:rPr>
        <w:t xml:space="preserve">Seluruh akses data menggunakan parameter terikat (bukan menyambung string SQL secara langsung) untuk mencegah celah injeksi.</w:t>
      </w:r>
    </w:p>
    <w:p>
      <w:pPr>
        <w:pStyle w:val="ListParagraph"/>
        <w:numPr>
          <w:ilvl w:val="0"/>
          <w:numId w:val="3"/>
        </w:numPr>
        <w:spacing w:after="80"/>
      </w:pPr>
      <w:r>
        <w:rPr>
          <w:sz w:val="21"/>
          <w:szCs w:val="21"/>
        </w:rPr>
        <w:t xml:space="preserve">Pencetakan dokumen resmi menghasilkan berkas PDF teks asli (vektor), bukan hasil tangkapan layar, agar tetap tajam saat diperbesar maupun dicetak fisik.</w:t>
      </w:r>
    </w:p>
    <w:p>
      <w:pPr>
        <w:pStyle w:val="ListParagraph"/>
        <w:numPr>
          <w:ilvl w:val="0"/>
          <w:numId w:val="3"/>
        </w:numPr>
        <w:spacing w:after="80"/>
      </w:pPr>
      <w:r>
        <w:rPr>
          <w:sz w:val="21"/>
          <w:szCs w:val="21"/>
        </w:rPr>
        <w:t xml:space="preserve">Audit trail dan pencadangan data berkala.</w:t>
      </w:r>
    </w:p>
    <w:p>
      <w:pPr>
        <w:pStyle w:val="Heading1"/>
        <w:spacing w:after="140" w:before="320"/>
      </w:pPr>
      <w:r>
        <w:rPr>
          <w:b/>
          <w:bCs/>
          <w:color w:val="881337"/>
          <w:sz w:val="26"/>
          <w:szCs w:val="26"/>
        </w:rPr>
        <w:t xml:space="preserve">16. Status Pengembangan Saat Ini</w:t>
      </w:r>
    </w:p>
    <w:p>
      <w:pPr>
        <w:spacing w:after="140"/>
        <w:jc w:val="both"/>
      </w:pPr>
      <w:r>
        <w:rPr>
          <w:b w:val="false"/>
          <w:bCs w:val="false"/>
          <w:i w:val="false"/>
          <w:iCs w:val="false"/>
          <w:sz w:val="21"/>
          <w:szCs w:val="21"/>
        </w:rPr>
        <w:t xml:space="preserve">Sebagai catatan posisi pengembangan pada penyusunan dokumen ini: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200"/>
        <w:gridCol w:w="4150"/>
      </w:tblGrid>
      <w:tr>
        <w:tc>
          <w:tcPr>
            <w:tcW w:type="dxa" w:w="5200"/>
            <w:shd w:fill="F1F5F9" w:val="clear"/>
            <w:tcMar>
              <w:top w:type="dxa" w:w="100"/>
              <w:left w:type="dxa" w:w="120"/>
              <w:bottom w:type="dxa" w:w="100"/>
              <w:right w:type="dxa" w:w="120"/>
            </w:tcMar>
          </w:tcPr>
          <w:p>
            <w:r>
              <w:rPr>
                <w:b/>
                <w:bCs/>
                <w:sz w:val="20"/>
                <w:szCs w:val="20"/>
              </w:rPr>
              <w:t xml:space="preserve">Modul</w:t>
            </w:r>
          </w:p>
        </w:tc>
        <w:tc>
          <w:tcPr>
            <w:tcW w:type="dxa" w:w="4150"/>
            <w:shd w:fill="F1F5F9" w:val="clear"/>
            <w:tcMar>
              <w:top w:type="dxa" w:w="100"/>
              <w:left w:type="dxa" w:w="120"/>
              <w:bottom w:type="dxa" w:w="100"/>
              <w:right w:type="dxa" w:w="120"/>
            </w:tcMar>
          </w:tcPr>
          <w:p>
            <w:r>
              <w:rPr>
                <w:b/>
                <w:bCs/>
                <w:sz w:val="20"/>
                <w:szCs w:val="20"/>
              </w:rPr>
              <w:t xml:space="preserve">Status</w:t>
            </w:r>
          </w:p>
        </w:tc>
      </w:tr>
      <w:tr>
        <w:tc>
          <w:tcPr>
            <w:tcW w:type="dxa" w:w="5200"/>
            <w:tcMar>
              <w:top w:type="dxa" w:w="100"/>
              <w:left w:type="dxa" w:w="120"/>
              <w:bottom w:type="dxa" w:w="100"/>
              <w:right w:type="dxa" w:w="120"/>
            </w:tcMar>
          </w:tcPr>
          <w:p>
            <w:r>
              <w:rPr>
                <w:b w:val="false"/>
                <w:bCs w:val="false"/>
                <w:sz w:val="20"/>
                <w:szCs w:val="20"/>
              </w:rPr>
              <w:t xml:space="preserve">Order Layanan, Tinjauan Kelayakan, Proposal (Selulosa)</w:t>
            </w:r>
          </w:p>
        </w:tc>
        <w:tc>
          <w:tcPr>
            <w:tcW w:type="dxa" w:w="4150"/>
            <w:tcMar>
              <w:top w:type="dxa" w:w="100"/>
              <w:left w:type="dxa" w:w="120"/>
              <w:bottom w:type="dxa" w:w="100"/>
              <w:right w:type="dxa" w:w="120"/>
            </w:tcMar>
          </w:tcPr>
          <w:p>
            <w:r>
              <w:rPr>
                <w:b w:val="false"/>
                <w:bCs w:val="false"/>
                <w:sz w:val="20"/>
                <w:szCs w:val="20"/>
              </w:rPr>
              <w:t xml:space="preserve">Berjalan</w:t>
            </w:r>
          </w:p>
        </w:tc>
      </w:tr>
      <w:tr>
        <w:tc>
          <w:tcPr>
            <w:tcW w:type="dxa" w:w="5200"/>
            <w:tcMar>
              <w:top w:type="dxa" w:w="100"/>
              <w:left w:type="dxa" w:w="120"/>
              <w:bottom w:type="dxa" w:w="100"/>
              <w:right w:type="dxa" w:w="120"/>
            </w:tcMar>
          </w:tcPr>
          <w:p>
            <w:r>
              <w:rPr>
                <w:b w:val="false"/>
                <w:bCs w:val="false"/>
                <w:sz w:val="20"/>
                <w:szCs w:val="20"/>
              </w:rPr>
              <w:t xml:space="preserve">Surat Penawaran Resmi &amp; Respon Klien</w:t>
            </w:r>
          </w:p>
        </w:tc>
        <w:tc>
          <w:tcPr>
            <w:tcW w:type="dxa" w:w="4150"/>
            <w:tcMar>
              <w:top w:type="dxa" w:w="100"/>
              <w:left w:type="dxa" w:w="120"/>
              <w:bottom w:type="dxa" w:w="100"/>
              <w:right w:type="dxa" w:w="120"/>
            </w:tcMar>
          </w:tcPr>
          <w:p>
            <w:r>
              <w:rPr>
                <w:b w:val="false"/>
                <w:bCs w:val="false"/>
                <w:sz w:val="20"/>
                <w:szCs w:val="20"/>
              </w:rPr>
              <w:t xml:space="preserve">Berjalan</w:t>
            </w:r>
          </w:p>
        </w:tc>
      </w:tr>
      <w:tr>
        <w:tc>
          <w:tcPr>
            <w:tcW w:type="dxa" w:w="5200"/>
            <w:tcMar>
              <w:top w:type="dxa" w:w="100"/>
              <w:left w:type="dxa" w:w="120"/>
              <w:bottom w:type="dxa" w:w="100"/>
              <w:right w:type="dxa" w:w="120"/>
            </w:tcMar>
          </w:tcPr>
          <w:p>
            <w:r>
              <w:rPr>
                <w:b w:val="false"/>
                <w:bCs w:val="false"/>
                <w:sz w:val="20"/>
                <w:szCs w:val="20"/>
              </w:rPr>
              <w:t xml:space="preserve">Surat Kesanggupan Bayar (unggah &amp; alur skip pembayaran)</w:t>
            </w:r>
          </w:p>
        </w:tc>
        <w:tc>
          <w:tcPr>
            <w:tcW w:type="dxa" w:w="4150"/>
            <w:tcMar>
              <w:top w:type="dxa" w:w="100"/>
              <w:left w:type="dxa" w:w="120"/>
              <w:bottom w:type="dxa" w:w="100"/>
              <w:right w:type="dxa" w:w="120"/>
            </w:tcMar>
          </w:tcPr>
          <w:p>
            <w:r>
              <w:rPr>
                <w:b w:val="false"/>
                <w:bCs w:val="false"/>
                <w:sz w:val="20"/>
                <w:szCs w:val="20"/>
              </w:rPr>
              <w:t xml:space="preserve">Berjalan</w:t>
            </w:r>
          </w:p>
        </w:tc>
      </w:tr>
      <w:tr>
        <w:tc>
          <w:tcPr>
            <w:tcW w:type="dxa" w:w="5200"/>
            <w:tcMar>
              <w:top w:type="dxa" w:w="100"/>
              <w:left w:type="dxa" w:w="120"/>
              <w:bottom w:type="dxa" w:w="100"/>
              <w:right w:type="dxa" w:w="120"/>
            </w:tcMar>
          </w:tcPr>
          <w:p>
            <w:r>
              <w:rPr>
                <w:b w:val="false"/>
                <w:bCs w:val="false"/>
                <w:sz w:val="20"/>
                <w:szCs w:val="20"/>
              </w:rPr>
              <w:t xml:space="preserve">Rekapitulasi Keuangan &amp; Pembayaran (4 tab, filter independen)</w:t>
            </w:r>
          </w:p>
        </w:tc>
        <w:tc>
          <w:tcPr>
            <w:tcW w:type="dxa" w:w="4150"/>
            <w:tcMar>
              <w:top w:type="dxa" w:w="100"/>
              <w:left w:type="dxa" w:w="120"/>
              <w:bottom w:type="dxa" w:w="100"/>
              <w:right w:type="dxa" w:w="120"/>
            </w:tcMar>
          </w:tcPr>
          <w:p>
            <w:r>
              <w:rPr>
                <w:b w:val="false"/>
                <w:bCs w:val="false"/>
                <w:sz w:val="20"/>
                <w:szCs w:val="20"/>
              </w:rPr>
              <w:t xml:space="preserve">Berjalan</w:t>
            </w:r>
          </w:p>
        </w:tc>
      </w:tr>
      <w:tr>
        <w:tc>
          <w:tcPr>
            <w:tcW w:type="dxa" w:w="5200"/>
            <w:tcMar>
              <w:top w:type="dxa" w:w="100"/>
              <w:left w:type="dxa" w:w="120"/>
              <w:bottom w:type="dxa" w:w="100"/>
              <w:right w:type="dxa" w:w="120"/>
            </w:tcMar>
          </w:tcPr>
          <w:p>
            <w:r>
              <w:rPr>
                <w:b w:val="false"/>
                <w:bCs w:val="false"/>
                <w:sz w:val="20"/>
                <w:szCs w:val="20"/>
              </w:rPr>
              <w:t xml:space="preserve">PO Kegiatan (RAB dinamis, Jadwal dinamis, cetak PDF)</w:t>
            </w:r>
          </w:p>
        </w:tc>
        <w:tc>
          <w:tcPr>
            <w:tcW w:type="dxa" w:w="4150"/>
            <w:tcMar>
              <w:top w:type="dxa" w:w="100"/>
              <w:left w:type="dxa" w:w="120"/>
              <w:bottom w:type="dxa" w:w="100"/>
              <w:right w:type="dxa" w:w="120"/>
            </w:tcMar>
          </w:tcPr>
          <w:p>
            <w:r>
              <w:rPr>
                <w:b w:val="false"/>
                <w:bCs w:val="false"/>
                <w:sz w:val="20"/>
                <w:szCs w:val="20"/>
              </w:rPr>
              <w:t xml:space="preserve">Berjalan</w:t>
            </w:r>
          </w:p>
        </w:tc>
      </w:tr>
      <w:tr>
        <w:tc>
          <w:tcPr>
            <w:tcW w:type="dxa" w:w="5200"/>
            <w:tcMar>
              <w:top w:type="dxa" w:w="100"/>
              <w:left w:type="dxa" w:w="120"/>
              <w:bottom w:type="dxa" w:w="100"/>
              <w:right w:type="dxa" w:w="120"/>
            </w:tcMar>
          </w:tcPr>
          <w:p>
            <w:r>
              <w:rPr>
                <w:b w:val="false"/>
                <w:bCs w:val="false"/>
                <w:sz w:val="20"/>
                <w:szCs w:val="20"/>
              </w:rPr>
              <w:t xml:space="preserve">Surat Masuk &amp; Klaim (integrasi Sekretariat)</w:t>
            </w:r>
          </w:p>
        </w:tc>
        <w:tc>
          <w:tcPr>
            <w:tcW w:type="dxa" w:w="4150"/>
            <w:tcMar>
              <w:top w:type="dxa" w:w="100"/>
              <w:left w:type="dxa" w:w="120"/>
              <w:bottom w:type="dxa" w:w="100"/>
              <w:right w:type="dxa" w:w="120"/>
            </w:tcMar>
          </w:tcPr>
          <w:p>
            <w:r>
              <w:rPr>
                <w:b w:val="false"/>
                <w:bCs w:val="false"/>
                <w:sz w:val="20"/>
                <w:szCs w:val="20"/>
              </w:rPr>
              <w:t xml:space="preserve">Berjalan, dalam penyempurnaan berkelanjutan</w:t>
            </w:r>
          </w:p>
        </w:tc>
      </w:tr>
      <w:tr>
        <w:tc>
          <w:tcPr>
            <w:tcW w:type="dxa" w:w="5200"/>
            <w:tcMar>
              <w:top w:type="dxa" w:w="100"/>
              <w:left w:type="dxa" w:w="120"/>
              <w:bottom w:type="dxa" w:w="100"/>
              <w:right w:type="dxa" w:w="120"/>
            </w:tcMar>
          </w:tcPr>
          <w:p>
            <w:r>
              <w:rPr>
                <w:b w:val="false"/>
                <w:bCs w:val="false"/>
                <w:sz w:val="20"/>
                <w:szCs w:val="20"/>
              </w:rPr>
              <w:t xml:space="preserve">BAST dan Penutupan Order</w:t>
            </w:r>
          </w:p>
        </w:tc>
        <w:tc>
          <w:tcPr>
            <w:tcW w:type="dxa" w:w="4150"/>
            <w:tcMar>
              <w:top w:type="dxa" w:w="100"/>
              <w:left w:type="dxa" w:w="120"/>
              <w:bottom w:type="dxa" w:w="100"/>
              <w:right w:type="dxa" w:w="120"/>
            </w:tcMar>
          </w:tcPr>
          <w:p>
            <w:r>
              <w:rPr>
                <w:b w:val="false"/>
                <w:bCs w:val="false"/>
                <w:sz w:val="20"/>
                <w:szCs w:val="20"/>
              </w:rPr>
              <w:t xml:space="preserve">Tahap awal</w:t>
            </w:r>
          </w:p>
        </w:tc>
      </w:tr>
      <w:tr>
        <w:tc>
          <w:tcPr>
            <w:tcW w:type="dxa" w:w="5200"/>
            <w:tcMar>
              <w:top w:type="dxa" w:w="100"/>
              <w:left w:type="dxa" w:w="120"/>
              <w:bottom w:type="dxa" w:w="100"/>
              <w:right w:type="dxa" w:w="120"/>
            </w:tcMar>
          </w:tcPr>
          <w:p>
            <w:r>
              <w:rPr>
                <w:b w:val="false"/>
                <w:bCs w:val="false"/>
                <w:sz w:val="20"/>
                <w:szCs w:val="20"/>
              </w:rPr>
              <w:t xml:space="preserve">Modul Kontrak PKS</w:t>
            </w:r>
          </w:p>
        </w:tc>
        <w:tc>
          <w:tcPr>
            <w:tcW w:type="dxa" w:w="4150"/>
            <w:tcMar>
              <w:top w:type="dxa" w:w="100"/>
              <w:left w:type="dxa" w:w="120"/>
              <w:bottom w:type="dxa" w:w="100"/>
              <w:right w:type="dxa" w:w="120"/>
            </w:tcMar>
          </w:tcPr>
          <w:p>
            <w:r>
              <w:rPr>
                <w:b w:val="false"/>
                <w:bCs w:val="false"/>
                <w:sz w:val="20"/>
                <w:szCs w:val="20"/>
              </w:rPr>
              <w:t xml:space="preserve">Tahap awal</w:t>
            </w:r>
          </w:p>
        </w:tc>
      </w:tr>
    </w:tbl>
    <w:p>
      <w:pPr>
        <w:pStyle w:val="Heading1"/>
        <w:spacing w:after="140" w:before="320"/>
      </w:pPr>
      <w:r>
        <w:rPr>
          <w:b/>
          <w:bCs/>
          <w:color w:val="881337"/>
          <w:sz w:val="26"/>
          <w:szCs w:val="26"/>
        </w:rPr>
        <w:t xml:space="preserve">17. Output yang Diharapkan dari Tim IT</w:t>
      </w:r>
    </w:p>
    <w:p>
      <w:pPr>
        <w:pStyle w:val="ListParagraph"/>
        <w:numPr>
          <w:ilvl w:val="0"/>
          <w:numId w:val="3"/>
        </w:numPr>
        <w:spacing w:after="80"/>
      </w:pPr>
      <w:r>
        <w:rPr>
          <w:sz w:val="21"/>
          <w:szCs w:val="21"/>
        </w:rPr>
        <w:t xml:space="preserve">Aplikasi SILOPTI berbasis web dengan basis data terstruktur, mencakup seluruh modul pada Bab 7–9.</w:t>
      </w:r>
    </w:p>
    <w:p>
      <w:pPr>
        <w:pStyle w:val="ListParagraph"/>
        <w:numPr>
          <w:ilvl w:val="0"/>
          <w:numId w:val="3"/>
        </w:numPr>
        <w:spacing w:after="80"/>
      </w:pPr>
      <w:r>
        <w:rPr>
          <w:sz w:val="21"/>
          <w:szCs w:val="21"/>
        </w:rPr>
        <w:t xml:space="preserve">Modul integrasi baca data surat masuk dari sistem kearsipan Sekretariat (Bab 10), termasuk sinkronisasi status klaim dua arah.</w:t>
      </w:r>
    </w:p>
    <w:p>
      <w:pPr>
        <w:pStyle w:val="ListParagraph"/>
        <w:numPr>
          <w:ilvl w:val="0"/>
          <w:numId w:val="3"/>
        </w:numPr>
        <w:spacing w:after="80"/>
      </w:pPr>
      <w:r>
        <w:rPr>
          <w:sz w:val="21"/>
          <w:szCs w:val="21"/>
        </w:rPr>
        <w:t xml:space="preserve">Fitur cetak dokumen resmi (Surat Penawaran, PO Kegiatan) dalam format PDF vektor (Bab 11).</w:t>
      </w:r>
    </w:p>
    <w:p>
      <w:pPr>
        <w:pStyle w:val="ListParagraph"/>
        <w:numPr>
          <w:ilvl w:val="0"/>
          <w:numId w:val="3"/>
        </w:numPr>
        <w:spacing w:after="80"/>
      </w:pPr>
      <w:r>
        <w:rPr>
          <w:sz w:val="21"/>
          <w:szCs w:val="21"/>
        </w:rPr>
        <w:t xml:space="preserve">Audit trail, notifikasi, dan dashboard berbasis peran (Bab 13–14).</w:t>
      </w:r>
    </w:p>
    <w:p>
      <w:pPr>
        <w:pStyle w:val="ListParagraph"/>
        <w:numPr>
          <w:ilvl w:val="0"/>
          <w:numId w:val="3"/>
        </w:numPr>
        <w:spacing w:after="80"/>
      </w:pPr>
      <w:r>
        <w:rPr>
          <w:sz w:val="21"/>
          <w:szCs w:val="21"/>
        </w:rPr>
        <w:t xml:space="preserve">Mekanisme pencadangan dan pemulihan data secara berkala.</w:t>
      </w:r>
    </w:p>
    <w:p>
      <w:pPr>
        <w:pStyle w:val="Heading1"/>
        <w:spacing w:after="140" w:before="320"/>
      </w:pPr>
      <w:r>
        <w:rPr>
          <w:b/>
          <w:bCs/>
          <w:color w:val="881337"/>
          <w:sz w:val="26"/>
          <w:szCs w:val="26"/>
        </w:rPr>
        <w:t xml:space="preserve">18. Catatan untuk Tim IT</w:t>
      </w:r>
    </w:p>
    <w:p>
      <w:pPr>
        <w:spacing w:after="140"/>
        <w:jc w:val="both"/>
      </w:pPr>
      <w:r>
        <w:rPr>
          <w:b w:val="false"/>
          <w:bCs w:val="false"/>
          <w:i w:val="false"/>
          <w:iCs w:val="false"/>
          <w:sz w:val="21"/>
          <w:szCs w:val="21"/>
        </w:rPr>
        <w:t xml:space="preserve">Dokumen ini merupakan rancangan kebutuhan bisnis/fungsional SILOPTI yang disusun berdasarkan alur kerja aktual pelayanan OPTI BBSPJI Selulosa. Poin krusial yang perlu dipertahankan pada tahap desain teknis: status keuangan Order selalu dihitung dari riwayat transaksi pembayaran secara langsung (Bab 8), bukan disimpan sebagai nilai statis terpisah yang berisiko tidak sinkron; struktur formulir PO Kegiatan tetap dibedakan antara divisi Selulosa dan Lingkungan (Bab 7.6); dan satu surat masuk hanya boleh diklaim satu kali dengan status yang tersinkron antara SILOPTI dan sistem kearsipan Sekretariat (Bab 10, Bab 12).</w:t>
      </w:r>
    </w:p>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2026-09-23T03:53:35.601Z</dcterms:created>
  <dcterms:modified xsi:type="dcterms:W3CDTF">2026-09-23T03:53:35.610Z</dcterms:modified>
</cp:coreProperties>
</file>

<file path=docProps/custom.xml><?xml version="1.0" encoding="utf-8"?>
<Properties xmlns="http://schemas.openxmlformats.org/officeDocument/2006/custom-properties" xmlns:vt="http://schemas.openxmlformats.org/officeDocument/2006/docPropsVTypes"/>
</file>