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1EA5D7" w14:textId="77777777" w:rsidR="005F3D39" w:rsidRDefault="00307D00">
      <w:pPr>
        <w:jc w:val="center"/>
      </w:pPr>
      <w:r>
        <w:rPr>
          <w:sz w:val="40"/>
        </w:rPr>
        <w:t xml:space="preserve">HPC Temperature Monitoring System: An </w:t>
      </w:r>
      <w:proofErr w:type="spellStart"/>
      <w:r>
        <w:rPr>
          <w:sz w:val="40"/>
        </w:rPr>
        <w:t>IoT</w:t>
      </w:r>
      <w:proofErr w:type="spellEnd"/>
      <w:r>
        <w:rPr>
          <w:sz w:val="40"/>
        </w:rPr>
        <w:t>-Based Real-Time Alert and Visualization Platform</w:t>
      </w:r>
    </w:p>
    <w:p w14:paraId="18CCE7F9" w14:textId="77777777" w:rsidR="005F3D39" w:rsidRDefault="00307D00">
      <w:pPr>
        <w:jc w:val="center"/>
      </w:pPr>
      <w:proofErr w:type="spellStart"/>
      <w:r>
        <w:rPr>
          <w:b/>
        </w:rPr>
        <w:t>Ferdaws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Qaem</w:t>
      </w:r>
      <w:proofErr w:type="spellEnd"/>
      <w:r>
        <w:rPr>
          <w:i/>
        </w:rPr>
        <w:t xml:space="preserve"> (Hardware Integration, 2300001530)</w:t>
      </w:r>
      <w:r>
        <w:t xml:space="preserve">  ·  </w:t>
      </w:r>
      <w:r>
        <w:rPr>
          <w:b/>
        </w:rPr>
        <w:t xml:space="preserve">Mohammed </w:t>
      </w:r>
      <w:proofErr w:type="spellStart"/>
      <w:r>
        <w:rPr>
          <w:b/>
        </w:rPr>
        <w:t>Abdessamed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Nouioua</w:t>
      </w:r>
      <w:proofErr w:type="spellEnd"/>
      <w:r>
        <w:rPr>
          <w:i/>
        </w:rPr>
        <w:t xml:space="preserve"> (3D-Printed Enclosure, 2200002554)</w:t>
      </w:r>
      <w:r>
        <w:t xml:space="preserve">  ·  </w:t>
      </w:r>
      <w:proofErr w:type="spellStart"/>
      <w:r>
        <w:rPr>
          <w:b/>
        </w:rPr>
        <w:t>Abdelmagied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Farhouda</w:t>
      </w:r>
      <w:proofErr w:type="spellEnd"/>
      <w:r>
        <w:rPr>
          <w:i/>
        </w:rPr>
        <w:t xml:space="preserve"> (Database &amp;</w:t>
      </w:r>
      <w:r>
        <w:rPr>
          <w:i/>
        </w:rPr>
        <w:t xml:space="preserve"> Backend, 2300000061)</w:t>
      </w:r>
      <w:r>
        <w:t xml:space="preserve">  ·  </w:t>
      </w:r>
      <w:r>
        <w:rPr>
          <w:b/>
        </w:rPr>
        <w:t xml:space="preserve">Hares </w:t>
      </w:r>
      <w:proofErr w:type="spellStart"/>
      <w:r>
        <w:rPr>
          <w:b/>
        </w:rPr>
        <w:t>Aslami</w:t>
      </w:r>
      <w:proofErr w:type="spellEnd"/>
      <w:r>
        <w:rPr>
          <w:i/>
        </w:rPr>
        <w:t xml:space="preserve"> (Sensor Placement &amp; Coverage Validation, 2300004946)</w:t>
      </w:r>
      <w:r>
        <w:t xml:space="preserve">  ·  </w:t>
      </w:r>
      <w:proofErr w:type="spellStart"/>
      <w:r>
        <w:rPr>
          <w:b/>
        </w:rPr>
        <w:t>Musaeed</w:t>
      </w:r>
      <w:proofErr w:type="spellEnd"/>
      <w:r>
        <w:rPr>
          <w:b/>
        </w:rPr>
        <w:t xml:space="preserve"> Mohammed Saleh </w:t>
      </w:r>
      <w:proofErr w:type="spellStart"/>
      <w:r>
        <w:rPr>
          <w:b/>
        </w:rPr>
        <w:t>Alharogi</w:t>
      </w:r>
      <w:proofErr w:type="spellEnd"/>
      <w:r>
        <w:rPr>
          <w:i/>
        </w:rPr>
        <w:t xml:space="preserve"> (Email Alert Module, 2400001392)</w:t>
      </w:r>
      <w:r>
        <w:t xml:space="preserve">  ·  </w:t>
      </w:r>
      <w:r>
        <w:rPr>
          <w:b/>
        </w:rPr>
        <w:t xml:space="preserve">Zaid </w:t>
      </w:r>
      <w:proofErr w:type="spellStart"/>
      <w:r>
        <w:rPr>
          <w:b/>
        </w:rPr>
        <w:t>Iyad</w:t>
      </w:r>
      <w:proofErr w:type="spellEnd"/>
      <w:r>
        <w:rPr>
          <w:b/>
        </w:rPr>
        <w:t xml:space="preserve"> J. J. </w:t>
      </w:r>
      <w:proofErr w:type="spellStart"/>
      <w:r>
        <w:rPr>
          <w:b/>
        </w:rPr>
        <w:t>Dweekat</w:t>
      </w:r>
      <w:proofErr w:type="spellEnd"/>
      <w:r>
        <w:rPr>
          <w:i/>
        </w:rPr>
        <w:t xml:space="preserve"> (Frontend Development, 2300003388)</w:t>
      </w:r>
      <w:r>
        <w:t xml:space="preserve">  ·  </w:t>
      </w:r>
      <w:r>
        <w:rPr>
          <w:b/>
        </w:rPr>
        <w:t xml:space="preserve">Abdullah </w:t>
      </w:r>
      <w:proofErr w:type="spellStart"/>
      <w:r>
        <w:rPr>
          <w:b/>
        </w:rPr>
        <w:t>Arslan</w:t>
      </w:r>
      <w:proofErr w:type="spellEnd"/>
      <w:r>
        <w:rPr>
          <w:i/>
        </w:rPr>
        <w:t xml:space="preserve"> (Transmissio</w:t>
      </w:r>
      <w:r>
        <w:rPr>
          <w:i/>
        </w:rPr>
        <w:t>n Module, 2300000345)</w:t>
      </w:r>
    </w:p>
    <w:p w14:paraId="07EBFE26" w14:textId="77777777" w:rsidR="005F3D39" w:rsidRDefault="00307D00">
      <w:pPr>
        <w:jc w:val="center"/>
      </w:pPr>
      <w:r>
        <w:t xml:space="preserve">Department of Computer Engineering, T.C. İstanbul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Üniversitesi</w:t>
      </w:r>
      <w:proofErr w:type="spellEnd"/>
      <w:r>
        <w:t xml:space="preserve">, İstanbul, </w:t>
      </w:r>
      <w:proofErr w:type="spellStart"/>
      <w:r>
        <w:t>Türkiye</w:t>
      </w:r>
      <w:proofErr w:type="spellEnd"/>
      <w:r>
        <w:rPr>
          <w:i/>
          <w:sz w:val="18"/>
        </w:rPr>
        <w:br/>
        <w:t xml:space="preserve">Instructor: Prof. Dr. </w:t>
      </w:r>
      <w:proofErr w:type="spellStart"/>
      <w:r>
        <w:rPr>
          <w:i/>
          <w:sz w:val="18"/>
        </w:rPr>
        <w:t>Akhan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Akbulut</w:t>
      </w:r>
      <w:proofErr w:type="spellEnd"/>
      <w:r>
        <w:rPr>
          <w:i/>
          <w:sz w:val="18"/>
        </w:rPr>
        <w:t xml:space="preserve"> · Teaching Assistant: </w:t>
      </w:r>
      <w:proofErr w:type="spellStart"/>
      <w:r>
        <w:rPr>
          <w:i/>
          <w:sz w:val="18"/>
        </w:rPr>
        <w:t>Büşra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Kocaçınar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Öz</w:t>
      </w:r>
      <w:proofErr w:type="spellEnd"/>
      <w:r>
        <w:rPr>
          <w:i/>
          <w:sz w:val="18"/>
        </w:rPr>
        <w:t xml:space="preserve"> · Date: 19 May 2026</w:t>
      </w:r>
    </w:p>
    <w:p w14:paraId="03819E3F" w14:textId="77777777" w:rsidR="005F3D39" w:rsidRDefault="005F3D39">
      <w:pPr>
        <w:sectPr w:rsidR="005F3D39">
          <w:pgSz w:w="11906" w:h="16838"/>
          <w:pgMar w:top="1077" w:right="850" w:bottom="1417" w:left="850" w:header="720" w:footer="720" w:gutter="0"/>
          <w:cols w:space="480"/>
          <w:docGrid w:linePitch="360"/>
        </w:sectPr>
      </w:pPr>
    </w:p>
    <w:p w14:paraId="1EA09155" w14:textId="77777777" w:rsidR="005F3D39" w:rsidRDefault="00307D00">
      <w:pPr>
        <w:ind w:firstLine="288"/>
      </w:pPr>
      <w:r>
        <w:rPr>
          <w:b/>
          <w:i/>
        </w:rPr>
        <w:t>Abstract—</w:t>
      </w:r>
      <w:r>
        <w:rPr>
          <w:i/>
        </w:rPr>
        <w:t>High-Performance Comp</w:t>
      </w:r>
      <w:r>
        <w:rPr>
          <w:i/>
        </w:rPr>
        <w:t>uting (HPC) clusters generate concentrated thermal loads that must be detected quickly to prevent throttling or hardware damage. Off-the-shelf room thermostats miss localized hot spots, while enterprise-grade monitoring is costly and inflexible. This paper</w:t>
      </w:r>
      <w:r>
        <w:rPr>
          <w:i/>
        </w:rPr>
        <w:t xml:space="preserve"> presents an end-to-end, low-cost </w:t>
      </w:r>
      <w:proofErr w:type="spellStart"/>
      <w:r>
        <w:rPr>
          <w:i/>
        </w:rPr>
        <w:t>IoT</w:t>
      </w:r>
      <w:proofErr w:type="spellEnd"/>
      <w:r>
        <w:rPr>
          <w:i/>
        </w:rPr>
        <w:t xml:space="preserve"> solution comprising an ESP32-based sensor node (DHT11/DHT22), a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/PostgreSQL cloud backend, a Python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 alerting service, and a React/</w:t>
      </w:r>
      <w:proofErr w:type="spellStart"/>
      <w:r>
        <w:rPr>
          <w:i/>
        </w:rPr>
        <w:t>TypeScript</w:t>
      </w:r>
      <w:proofErr w:type="spellEnd"/>
      <w:r>
        <w:rPr>
          <w:i/>
        </w:rPr>
        <w:t xml:space="preserve"> dashboard. The system reads temperature and humidity every 2 </w:t>
      </w:r>
      <w:r>
        <w:rPr>
          <w:i/>
        </w:rPr>
        <w:t>s, transmits readings directly to the cloud every 10 s with a local ring buffer for fault tolerance, classifies readings into NORMAL/WARNING/HIGH/CRITICAL tiers with 1 °C hysteresis, dispatches Gmail SMTP alerts to configurable recipients, and visualizes l</w:t>
      </w:r>
      <w:r>
        <w:rPr>
          <w:i/>
        </w:rPr>
        <w:t>ive and historical data through an authenticated web dashboard. Empirical zone testing under ASHRAE TC 9.9 Class A1 guidelines confirmed Zone 1 (top-rear) as the early-warning placement: closed-door conditions raised Zone 1 from 20.5 °C to 29.0 °C (Δ8.5 °C</w:t>
      </w:r>
      <w:r>
        <w:rPr>
          <w:i/>
        </w:rPr>
        <w:t xml:space="preserve">) and humidity fell to 23.2 % RH, well into ESD-risk territory. Fault-tolerance tests (T1, T2, T4, </w:t>
      </w:r>
      <w:proofErr w:type="gramStart"/>
      <w:r>
        <w:rPr>
          <w:i/>
        </w:rPr>
        <w:t>T8</w:t>
      </w:r>
      <w:proofErr w:type="gramEnd"/>
      <w:r>
        <w:rPr>
          <w:i/>
        </w:rPr>
        <w:t xml:space="preserve">) verified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 reachability fallbacks, packet-loss recovery, HTTP 5xx retry, and ring-buffer eviction.</w:t>
      </w:r>
    </w:p>
    <w:p w14:paraId="10F4376F" w14:textId="77777777" w:rsidR="005F3D39" w:rsidRDefault="00307D00">
      <w:pPr>
        <w:ind w:firstLine="288"/>
      </w:pPr>
      <w:r>
        <w:rPr>
          <w:b/>
          <w:i/>
        </w:rPr>
        <w:t>Index Terms—</w:t>
      </w:r>
      <w:r>
        <w:rPr>
          <w:i/>
        </w:rPr>
        <w:t xml:space="preserve">HPC monitoring, </w:t>
      </w:r>
      <w:proofErr w:type="spellStart"/>
      <w:r>
        <w:rPr>
          <w:i/>
        </w:rPr>
        <w:t>IoT</w:t>
      </w:r>
      <w:proofErr w:type="spellEnd"/>
      <w:r>
        <w:rPr>
          <w:i/>
        </w:rPr>
        <w:t xml:space="preserve">, ESP32, DHT11, </w:t>
      </w:r>
      <w:r>
        <w:rPr>
          <w:i/>
        </w:rPr>
        <w:t xml:space="preserve">DHT22,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FastAPI</w:t>
      </w:r>
      <w:proofErr w:type="spellEnd"/>
      <w:r>
        <w:rPr>
          <w:i/>
        </w:rPr>
        <w:t>, real-time alerting, data-center thermal management, ASHRAE TC 9.9, sensor placement, fault tolerance.</w:t>
      </w:r>
    </w:p>
    <w:p w14:paraId="03FF50BB" w14:textId="77777777" w:rsidR="005F3D39" w:rsidRDefault="00307D00">
      <w:pPr>
        <w:spacing w:before="120" w:after="60"/>
        <w:jc w:val="center"/>
      </w:pPr>
      <w:r>
        <w:rPr>
          <w:b/>
          <w:smallCaps/>
        </w:rPr>
        <w:t>I.  Introduction</w:t>
      </w:r>
    </w:p>
    <w:p w14:paraId="74C8BA45" w14:textId="77777777" w:rsidR="005F3D39" w:rsidRDefault="00307D00">
      <w:pPr>
        <w:spacing w:after="40"/>
        <w:ind w:firstLine="288"/>
        <w:jc w:val="both"/>
      </w:pPr>
      <w:r>
        <w:t>Modern HPC clusters and data center racks routinely dissipate several kilowatts of heat in confined volumes. Ev</w:t>
      </w:r>
      <w:r>
        <w:t>en short thermal excursions can trigger CPU throttling, shorten device lifetime, or cause emergency shutdowns. Single-point room thermostats are insufficient because vertical and front/back gradients of 5–10 °C are common within a rack [1], [2]. Commercial</w:t>
      </w:r>
      <w:r>
        <w:t xml:space="preserve"> DCIM tools provide fine-grained monitoring but require expensive infrastructure and limit hardware choice.</w:t>
      </w:r>
    </w:p>
    <w:p w14:paraId="539EECF0" w14:textId="77777777" w:rsidR="005F3D39" w:rsidRDefault="00307D00">
      <w:pPr>
        <w:spacing w:after="40"/>
        <w:ind w:firstLine="288"/>
        <w:jc w:val="both"/>
      </w:pPr>
      <w:r>
        <w:t>We present an end-to-end open-source alternative built around the ESP32 platform. The system continuously samples a hot-aisle exhaust and cold-aisle</w:t>
      </w:r>
      <w:r>
        <w:t xml:space="preserve"> intake using DHT11 and </w:t>
      </w:r>
      <w:r>
        <w:t xml:space="preserve">DHT22 sensors, posts readings to a </w:t>
      </w:r>
      <w:proofErr w:type="spellStart"/>
      <w:r>
        <w:t>Supabase</w:t>
      </w:r>
      <w:proofErr w:type="spellEnd"/>
      <w:r>
        <w:t xml:space="preserve">/PostgreSQL instance over HTTPS, classifies the latest readings against operator-configurable thresholds, logs events into an audit table, and dispatches Gmail SMTP notifications to a list </w:t>
      </w:r>
      <w:r>
        <w:t>of recipients editable from the web dashboard. The dashboard exposes live readings, historical trends, user management, alert recipients, threshold configuration, and alert history.</w:t>
      </w:r>
    </w:p>
    <w:p w14:paraId="12F4A768" w14:textId="77777777" w:rsidR="005F3D39" w:rsidRDefault="00307D00">
      <w:pPr>
        <w:spacing w:after="40"/>
        <w:ind w:firstLine="288"/>
        <w:jc w:val="both"/>
      </w:pPr>
      <w:r>
        <w:t>The remainder of this paper is organized as follows. Section II reviews re</w:t>
      </w:r>
      <w:r>
        <w:t>lated work. Section III describes the system architecture. Section IV details the implementation of the firmware, transmission, alert server, dashboard, and enclosures. Section V presents the empirical sensor-placement study. Section VI discusses fault-tol</w:t>
      </w:r>
      <w:r>
        <w:t>erance design and tests. Section VII reports results and Section VIII concludes.</w:t>
      </w:r>
    </w:p>
    <w:p w14:paraId="4EC6E9B1" w14:textId="77777777" w:rsidR="005F3D39" w:rsidRDefault="00307D00">
      <w:pPr>
        <w:spacing w:before="120" w:after="60"/>
        <w:jc w:val="center"/>
      </w:pPr>
      <w:r>
        <w:rPr>
          <w:b/>
          <w:smallCaps/>
        </w:rPr>
        <w:t>II</w:t>
      </w:r>
      <w:proofErr w:type="gramStart"/>
      <w:r>
        <w:rPr>
          <w:b/>
          <w:smallCaps/>
        </w:rPr>
        <w:t>.  Related</w:t>
      </w:r>
      <w:proofErr w:type="gramEnd"/>
      <w:r>
        <w:rPr>
          <w:b/>
          <w:smallCaps/>
        </w:rPr>
        <w:t xml:space="preserve"> Work and Background</w:t>
      </w:r>
    </w:p>
    <w:p w14:paraId="40000BE2" w14:textId="45D0DDE7" w:rsidR="005F3D39" w:rsidRDefault="00307D00">
      <w:pPr>
        <w:spacing w:after="40"/>
        <w:ind w:firstLine="288"/>
        <w:jc w:val="both"/>
      </w:pPr>
      <w:r>
        <w:t>ASHRAE Technical Committee 9.9 publishes thermal guidelines that classify data-processing environments into Classes A1–A4 and define safe, war</w:t>
      </w:r>
      <w:r>
        <w:t xml:space="preserve">ning, and critical operating bands </w:t>
      </w:r>
      <w:hyperlink r:id="rId6" w:history="1">
        <w:r w:rsidRPr="004135BE">
          <w:rPr>
            <w:rStyle w:val="Hyperlink"/>
          </w:rPr>
          <w:t>[1]</w:t>
        </w:r>
      </w:hyperlink>
      <w:r>
        <w:t xml:space="preserve">. Capozzoli and </w:t>
      </w:r>
      <w:proofErr w:type="spellStart"/>
      <w:r>
        <w:t>Primiceri</w:t>
      </w:r>
      <w:proofErr w:type="spellEnd"/>
      <w:r>
        <w:t xml:space="preserve"> review state-of-the-art cooling techniques and docume</w:t>
      </w:r>
      <w:r>
        <w:t xml:space="preserve">nt the hot-aisle / cold-aisle containment model that informs sensor placement </w:t>
      </w:r>
      <w:hyperlink r:id="rId7" w:history="1">
        <w:r w:rsidRPr="004135BE">
          <w:rPr>
            <w:rStyle w:val="Hyperlink"/>
          </w:rPr>
          <w:t>[2]</w:t>
        </w:r>
      </w:hyperlink>
      <w:r>
        <w:t>. Random Nerd Tutorials describes the</w:t>
      </w:r>
      <w:r>
        <w:t xml:space="preserve"> DHT11/DHT22 calibration and interfacing approach used in this work </w:t>
      </w:r>
      <w:hyperlink r:id="rId8" w:history="1">
        <w:r w:rsidRPr="004135BE">
          <w:rPr>
            <w:rStyle w:val="Hyperlink"/>
          </w:rPr>
          <w:t>[3]</w:t>
        </w:r>
      </w:hyperlink>
      <w:r>
        <w:t xml:space="preserve">, while the ESP32 documentation </w:t>
      </w:r>
      <w:hyperlink r:id="rId9" w:history="1">
        <w:r w:rsidRPr="004135BE">
          <w:rPr>
            <w:rStyle w:val="Hyperlink"/>
          </w:rPr>
          <w:t>[4]</w:t>
        </w:r>
      </w:hyperlink>
      <w:r>
        <w:t xml:space="preserve">, </w:t>
      </w:r>
      <w:hyperlink r:id="rId10" w:history="1">
        <w:r w:rsidRPr="007C4FCC">
          <w:rPr>
            <w:rStyle w:val="Hyperlink"/>
          </w:rPr>
          <w:t>[5]</w:t>
        </w:r>
      </w:hyperlink>
      <w:r>
        <w:t xml:space="preserve"> specifies the GPIO assignment and PWM channels used by the LED indicator. </w:t>
      </w:r>
      <w:proofErr w:type="spellStart"/>
      <w:r>
        <w:t>Wokwi</w:t>
      </w:r>
      <w:proofErr w:type="spellEnd"/>
      <w:r>
        <w:t xml:space="preserve"> was used as the browser-based simulator </w:t>
      </w:r>
      <w:hyperlink r:id="rId11" w:history="1">
        <w:r w:rsidRPr="007C4FCC">
          <w:rPr>
            <w:rStyle w:val="Hyperlink"/>
          </w:rPr>
          <w:t>[6]</w:t>
        </w:r>
      </w:hyperlink>
      <w:r>
        <w:t xml:space="preserve"> to validate the firmware before bench testing.</w:t>
      </w:r>
    </w:p>
    <w:p w14:paraId="5CD4BC1C" w14:textId="77777777" w:rsidR="005F3D39" w:rsidRDefault="00307D00">
      <w:pPr>
        <w:spacing w:after="40"/>
        <w:ind w:firstLine="288"/>
        <w:jc w:val="both"/>
      </w:pPr>
      <w:r>
        <w:t xml:space="preserve">Existing real-time server-room monitoring efforts using </w:t>
      </w:r>
      <w:proofErr w:type="spellStart"/>
      <w:r>
        <w:t>IoT</w:t>
      </w:r>
      <w:proofErr w:type="spellEnd"/>
      <w:r>
        <w:t xml:space="preserve"> sensors have shown feasibility but generally focus on a single placement zone or do not consolidate logging, dashboard, and email alerting into one </w:t>
      </w:r>
      <w:r>
        <w:t xml:space="preserve">deployable artifact [38]. Our contribution combines an empirical four-zone placement study with a complete deployable software stack (firmware, backend, </w:t>
      </w:r>
      <w:proofErr w:type="gramStart"/>
      <w:r>
        <w:t>dashboard</w:t>
      </w:r>
      <w:proofErr w:type="gramEnd"/>
      <w:r>
        <w:t>) and a documented fault-tolerance design.</w:t>
      </w:r>
    </w:p>
    <w:p w14:paraId="6841644C" w14:textId="77777777" w:rsidR="005F3D39" w:rsidRDefault="00307D00">
      <w:pPr>
        <w:spacing w:before="120" w:after="60"/>
        <w:jc w:val="center"/>
      </w:pPr>
      <w:r>
        <w:rPr>
          <w:b/>
          <w:smallCaps/>
        </w:rPr>
        <w:t>III</w:t>
      </w:r>
      <w:proofErr w:type="gramStart"/>
      <w:r>
        <w:rPr>
          <w:b/>
          <w:smallCaps/>
        </w:rPr>
        <w:t>.  System</w:t>
      </w:r>
      <w:proofErr w:type="gramEnd"/>
      <w:r>
        <w:rPr>
          <w:b/>
          <w:smallCaps/>
        </w:rPr>
        <w:t xml:space="preserve"> Architecture</w:t>
      </w:r>
    </w:p>
    <w:p w14:paraId="2FB1A78E" w14:textId="77777777" w:rsidR="005F3D39" w:rsidRDefault="00307D00">
      <w:pPr>
        <w:spacing w:before="120" w:after="60"/>
      </w:pPr>
      <w:r>
        <w:rPr>
          <w:i/>
        </w:rPr>
        <w:t>A.  Layered Edge-to-Cloud</w:t>
      </w:r>
      <w:r>
        <w:rPr>
          <w:i/>
        </w:rPr>
        <w:t xml:space="preserve"> Design</w:t>
      </w:r>
    </w:p>
    <w:p w14:paraId="4D75B44C" w14:textId="77777777" w:rsidR="005F3D39" w:rsidRDefault="00307D00">
      <w:pPr>
        <w:spacing w:after="40"/>
        <w:ind w:firstLine="288"/>
        <w:jc w:val="both"/>
      </w:pPr>
      <w:r>
        <w:t xml:space="preserve">The system follows a four-layer architecture (Fig. 1). The physical layer holds the ESP32 </w:t>
      </w:r>
      <w:proofErr w:type="spellStart"/>
      <w:r>
        <w:t>DevKit</w:t>
      </w:r>
      <w:proofErr w:type="spellEnd"/>
      <w:r>
        <w:t xml:space="preserve"> V1, the DHT11 </w:t>
      </w:r>
      <w:r>
        <w:lastRenderedPageBreak/>
        <w:t>(intake) and DHT22 (exhaust) sensors, a 16×2 I²C LCD, an RGB status LED, and Cat5e cabling extending the sensor harness into the HPC room</w:t>
      </w:r>
      <w:r>
        <w:t xml:space="preserve">. The firmware layer (Arduino C++) polls the sensors every 2 s, updates the LCD/LED, buffers readings in a 32-slot ring buffer, and POSTs to </w:t>
      </w:r>
      <w:proofErr w:type="spellStart"/>
      <w:r>
        <w:t>Supabase</w:t>
      </w:r>
      <w:proofErr w:type="spellEnd"/>
      <w:r>
        <w:t xml:space="preserve"> every 10 s. The cloud layer (</w:t>
      </w:r>
      <w:proofErr w:type="spellStart"/>
      <w:r>
        <w:t>Supabase</w:t>
      </w:r>
      <w:proofErr w:type="spellEnd"/>
      <w:r>
        <w:t>/PostgreSQL) persists sensors, sensor readings, alert logs, alert rec</w:t>
      </w:r>
      <w:r>
        <w:t>ipients, threshold tables, LED thresholds, and dashboard users. The backend layer (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) polls </w:t>
      </w:r>
      <w:proofErr w:type="spellStart"/>
      <w:r>
        <w:t>Supabase</w:t>
      </w:r>
      <w:proofErr w:type="spellEnd"/>
      <w:r>
        <w:t xml:space="preserve">, classifies the latest readings, and sends Gmail SMTP alerts. The presentation layer (React 18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TailwindCSS</w:t>
      </w:r>
      <w:proofErr w:type="spellEnd"/>
      <w:r>
        <w:t xml:space="preserve"> + </w:t>
      </w:r>
      <w:proofErr w:type="spellStart"/>
      <w:r>
        <w:t>Recharts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 provides the authenticated dashboard.</w:t>
      </w:r>
    </w:p>
    <w:p w14:paraId="3792ACEA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620F5398" wp14:editId="0106D001">
            <wp:extent cx="3017520" cy="1940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94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56AA" w14:textId="77777777" w:rsidR="005F3D39" w:rsidRDefault="00307D00">
      <w:pPr>
        <w:spacing w:after="120"/>
        <w:jc w:val="center"/>
      </w:pPr>
      <w:r>
        <w:rPr>
          <w:sz w:val="18"/>
        </w:rPr>
        <w:t xml:space="preserve">Fig. 1. High-level alert-server architecture: sensors →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 xml:space="preserve"> → polling alert server → </w:t>
      </w:r>
      <w:proofErr w:type="spellStart"/>
      <w:r>
        <w:rPr>
          <w:sz w:val="18"/>
        </w:rPr>
        <w:t>alert_logs</w:t>
      </w:r>
      <w:proofErr w:type="spellEnd"/>
      <w:r>
        <w:rPr>
          <w:sz w:val="18"/>
        </w:rPr>
        <w:t xml:space="preserve"> + Gmail SMTPS to recipients.</w:t>
      </w:r>
    </w:p>
    <w:p w14:paraId="55098070" w14:textId="77777777" w:rsidR="005F3D39" w:rsidRDefault="00307D00">
      <w:pPr>
        <w:spacing w:before="120" w:after="60"/>
      </w:pPr>
      <w:r>
        <w:rPr>
          <w:i/>
        </w:rPr>
        <w:t>B.  Schema</w:t>
      </w:r>
    </w:p>
    <w:p w14:paraId="689129DE" w14:textId="77777777" w:rsidR="005F3D39" w:rsidRDefault="00307D00">
      <w:pPr>
        <w:spacing w:after="40"/>
        <w:ind w:firstLine="288"/>
        <w:jc w:val="both"/>
      </w:pPr>
      <w:r>
        <w:t xml:space="preserve">The database holds seven operational tables: sensors, </w:t>
      </w:r>
      <w:proofErr w:type="spellStart"/>
      <w:r>
        <w:t>sensor_readings</w:t>
      </w:r>
      <w:proofErr w:type="spellEnd"/>
      <w:r>
        <w:t>,</w:t>
      </w:r>
      <w:r>
        <w:t xml:space="preserve"> </w:t>
      </w:r>
      <w:proofErr w:type="spellStart"/>
      <w:r>
        <w:t>alert_logs</w:t>
      </w:r>
      <w:proofErr w:type="spellEnd"/>
      <w:r>
        <w:t xml:space="preserve">, </w:t>
      </w:r>
      <w:proofErr w:type="spellStart"/>
      <w:r>
        <w:t>custom_users</w:t>
      </w:r>
      <w:proofErr w:type="spellEnd"/>
      <w:r>
        <w:t xml:space="preserve">, </w:t>
      </w:r>
      <w:proofErr w:type="spellStart"/>
      <w:r>
        <w:t>led_thresholds</w:t>
      </w:r>
      <w:proofErr w:type="spellEnd"/>
      <w:r>
        <w:t xml:space="preserve">, </w:t>
      </w:r>
      <w:proofErr w:type="spellStart"/>
      <w:r>
        <w:t>alert_recipients</w:t>
      </w:r>
      <w:proofErr w:type="spellEnd"/>
      <w:r>
        <w:t xml:space="preserve">, and </w:t>
      </w:r>
      <w:proofErr w:type="spellStart"/>
      <w:r>
        <w:t>temperature_thresholds</w:t>
      </w:r>
      <w:proofErr w:type="spellEnd"/>
      <w:r>
        <w:t xml:space="preserve">. Threshold rows include a level label, min/max temperature, and a </w:t>
      </w:r>
      <w:proofErr w:type="spellStart"/>
      <w:r>
        <w:t>repeat_minutes</w:t>
      </w:r>
      <w:proofErr w:type="spellEnd"/>
      <w:r>
        <w:t xml:space="preserve"> cooldown that controls reminder cadence after an alert fires.</w:t>
      </w:r>
    </w:p>
    <w:p w14:paraId="24001A0B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7D666B69" wp14:editId="5D338C10">
            <wp:extent cx="3017520" cy="1962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9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DD28" w14:textId="77777777" w:rsidR="005F3D39" w:rsidRDefault="00307D00">
      <w:pPr>
        <w:spacing w:after="120"/>
        <w:jc w:val="center"/>
      </w:pPr>
      <w:r>
        <w:rPr>
          <w:sz w:val="18"/>
        </w:rPr>
        <w:t xml:space="preserve">Fig. 2.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 xml:space="preserve"> public</w:t>
      </w:r>
      <w:r>
        <w:rPr>
          <w:sz w:val="18"/>
        </w:rPr>
        <w:t xml:space="preserve"> schema visualizer for the HPC monitoring backend.</w:t>
      </w:r>
    </w:p>
    <w:p w14:paraId="4C4AADE3" w14:textId="77777777" w:rsidR="008B4CC1" w:rsidRDefault="008B4CC1">
      <w:pPr>
        <w:spacing w:before="120" w:after="60"/>
        <w:rPr>
          <w:i/>
        </w:rPr>
      </w:pPr>
    </w:p>
    <w:p w14:paraId="5078141B" w14:textId="62C575F2" w:rsidR="005F3D39" w:rsidRDefault="00307D00">
      <w:pPr>
        <w:spacing w:before="120" w:after="60"/>
      </w:pPr>
      <w:r>
        <w:rPr>
          <w:i/>
        </w:rPr>
        <w:t>C.  Architectural Evolution</w:t>
      </w:r>
    </w:p>
    <w:p w14:paraId="29A84213" w14:textId="77777777" w:rsidR="005F3D39" w:rsidRDefault="00307D00">
      <w:pPr>
        <w:spacing w:after="40"/>
        <w:ind w:firstLine="288"/>
        <w:jc w:val="both"/>
      </w:pPr>
      <w:r>
        <w:t xml:space="preserve">The initial design (Fig. 3) routed all readings through a local </w:t>
      </w:r>
      <w:proofErr w:type="spellStart"/>
      <w:r>
        <w:t>FastAPI</w:t>
      </w:r>
      <w:proofErr w:type="spellEnd"/>
      <w:r>
        <w:t xml:space="preserve"> middleman before forwarding to </w:t>
      </w:r>
      <w:proofErr w:type="spellStart"/>
      <w:r>
        <w:t>Supabase</w:t>
      </w:r>
      <w:proofErr w:type="spellEnd"/>
      <w:r>
        <w:t xml:space="preserve">, </w:t>
      </w:r>
      <w:r>
        <w:t xml:space="preserve">adding latency and a single point of failure. The final design </w:t>
      </w:r>
      <w:r>
        <w:t xml:space="preserve">(Fig. 4) sends readings directly from the ESP32 to </w:t>
      </w:r>
      <w:proofErr w:type="spellStart"/>
      <w:r>
        <w:t>Supabase</w:t>
      </w:r>
      <w:proofErr w:type="spellEnd"/>
      <w:r>
        <w:t xml:space="preserve"> using HTTPS POST; </w:t>
      </w:r>
      <w:proofErr w:type="spellStart"/>
      <w:r>
        <w:t>FastAPI</w:t>
      </w:r>
      <w:proofErr w:type="spellEnd"/>
      <w:r>
        <w:t xml:space="preserve"> remains responsible only for alert polling and email dispatch. This change halved end-to-end latency and removed an unnecessary process.</w:t>
      </w:r>
    </w:p>
    <w:p w14:paraId="36FBACD1" w14:textId="4F28C267" w:rsidR="005F3D39" w:rsidRDefault="00914B48">
      <w:pPr>
        <w:spacing w:before="60"/>
        <w:jc w:val="center"/>
      </w:pPr>
      <w:r w:rsidRPr="00914B48">
        <w:drawing>
          <wp:inline distT="0" distB="0" distL="0" distR="0" wp14:anchorId="69B6BBE9" wp14:editId="1BAD9CCA">
            <wp:extent cx="3695700" cy="73903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527" cy="76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A690" w14:textId="77777777" w:rsidR="005F3D39" w:rsidRDefault="00307D00">
      <w:pPr>
        <w:spacing w:after="120"/>
        <w:jc w:val="center"/>
      </w:pPr>
      <w:r>
        <w:rPr>
          <w:sz w:val="18"/>
        </w:rPr>
        <w:t>Fig. 3. Initial two-hop archite</w:t>
      </w:r>
      <w:r>
        <w:rPr>
          <w:sz w:val="18"/>
        </w:rPr>
        <w:t>cture (deprecated).</w:t>
      </w:r>
    </w:p>
    <w:p w14:paraId="55FFDDF1" w14:textId="39ABFA88" w:rsidR="005F3D39" w:rsidRDefault="00914B48">
      <w:pPr>
        <w:spacing w:before="60"/>
        <w:jc w:val="center"/>
      </w:pPr>
      <w:r w:rsidRPr="00914B48">
        <w:drawing>
          <wp:inline distT="0" distB="0" distL="0" distR="0" wp14:anchorId="15B6F6EB" wp14:editId="1C0121C6">
            <wp:extent cx="3464576" cy="1866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495" cy="18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F25BAA" w14:textId="77777777" w:rsidR="005F3D39" w:rsidRDefault="00307D00">
      <w:pPr>
        <w:spacing w:after="120"/>
        <w:jc w:val="center"/>
      </w:pPr>
      <w:r>
        <w:rPr>
          <w:sz w:val="18"/>
        </w:rPr>
        <w:t>Fig. 4. Final direct-to-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 xml:space="preserve"> architecture.</w:t>
      </w:r>
    </w:p>
    <w:p w14:paraId="13B35EEE" w14:textId="77777777" w:rsidR="005F3D39" w:rsidRDefault="00307D00">
      <w:pPr>
        <w:spacing w:before="120" w:after="60"/>
        <w:jc w:val="center"/>
      </w:pPr>
      <w:r>
        <w:rPr>
          <w:b/>
          <w:smallCaps/>
        </w:rPr>
        <w:t>IV</w:t>
      </w:r>
      <w:proofErr w:type="gramStart"/>
      <w:r>
        <w:rPr>
          <w:b/>
          <w:smallCaps/>
        </w:rPr>
        <w:t>.  Implementation</w:t>
      </w:r>
      <w:proofErr w:type="gramEnd"/>
    </w:p>
    <w:p w14:paraId="634D7F97" w14:textId="77777777" w:rsidR="005F3D39" w:rsidRDefault="00307D00">
      <w:pPr>
        <w:spacing w:before="120" w:after="60"/>
      </w:pPr>
      <w:r>
        <w:rPr>
          <w:i/>
        </w:rPr>
        <w:t>A.  Hardware and Firmware</w:t>
      </w:r>
    </w:p>
    <w:p w14:paraId="2F24A75D" w14:textId="77777777" w:rsidR="005F3D39" w:rsidRDefault="00307D00">
      <w:pPr>
        <w:spacing w:after="40"/>
        <w:ind w:firstLine="288"/>
        <w:jc w:val="both"/>
      </w:pPr>
      <w:r>
        <w:t xml:space="preserve">The ESP32 runs non-blocking,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)-driven loops: READ_INTERVAL = 2 000 </w:t>
      </w:r>
      <w:proofErr w:type="spellStart"/>
      <w:r>
        <w:t>ms</w:t>
      </w:r>
      <w:proofErr w:type="spellEnd"/>
      <w:r>
        <w:t xml:space="preserve"> for sensor polling and LCD update, SEND_INTERVAL = 10 000 </w:t>
      </w:r>
      <w:proofErr w:type="spellStart"/>
      <w:r>
        <w:t>ms</w:t>
      </w:r>
      <w:proofErr w:type="spellEnd"/>
      <w:r>
        <w:t xml:space="preserve"> for</w:t>
      </w:r>
      <w:r>
        <w:t xml:space="preserve"> buffered </w:t>
      </w:r>
      <w:proofErr w:type="spellStart"/>
      <w:r>
        <w:t>Supabase</w:t>
      </w:r>
      <w:proofErr w:type="spellEnd"/>
      <w:r>
        <w:t xml:space="preserve"> POSTs, BLINK_INTERVAL = 500 </w:t>
      </w:r>
      <w:proofErr w:type="spellStart"/>
      <w:r>
        <w:t>ms</w:t>
      </w:r>
      <w:proofErr w:type="spellEnd"/>
      <w:r>
        <w:t xml:space="preserve"> for RGB warning blink, and THRESHOLD_INTERVAL = 10 000 </w:t>
      </w:r>
      <w:proofErr w:type="spellStart"/>
      <w:r>
        <w:t>ms</w:t>
      </w:r>
      <w:proofErr w:type="spellEnd"/>
      <w:r>
        <w:t xml:space="preserve"> for refreshing LED thresholds from </w:t>
      </w:r>
      <w:proofErr w:type="spellStart"/>
      <w:r>
        <w:t>led_thresholds</w:t>
      </w:r>
      <w:proofErr w:type="spellEnd"/>
      <w:r>
        <w:t xml:space="preserve">. Wi-Fi reconnection uses exponential </w:t>
      </w:r>
      <w:proofErr w:type="spellStart"/>
      <w:r>
        <w:t>backoff</w:t>
      </w:r>
      <w:proofErr w:type="spellEnd"/>
      <w:r>
        <w:t xml:space="preserve"> with a 2 s base and 64 s ceiling; HTTP requests retry</w:t>
      </w:r>
      <w:r>
        <w:t xml:space="preserve"> up to three times with a 1 s base on </w:t>
      </w:r>
      <w:proofErr w:type="spellStart"/>
      <w:r>
        <w:t>retryable</w:t>
      </w:r>
      <w:proofErr w:type="spellEnd"/>
      <w:r>
        <w:t xml:space="preserve"> 5xx or network errors.</w:t>
      </w:r>
    </w:p>
    <w:p w14:paraId="2C3556A8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0D9B37AF" wp14:editId="16B3E6EE">
            <wp:extent cx="3017520" cy="1697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FC06" w14:textId="77777777" w:rsidR="003637A5" w:rsidRPr="003637A5" w:rsidRDefault="00307D00" w:rsidP="003637A5">
      <w:pPr>
        <w:spacing w:after="120"/>
        <w:jc w:val="center"/>
        <w:rPr>
          <w:sz w:val="18"/>
        </w:rPr>
      </w:pPr>
      <w:r>
        <w:rPr>
          <w:sz w:val="18"/>
        </w:rPr>
        <w:t xml:space="preserve">Fig. 5. </w:t>
      </w:r>
      <w:r w:rsidR="003637A5" w:rsidRPr="003637A5">
        <w:rPr>
          <w:sz w:val="18"/>
        </w:rPr>
        <w:t>A microcontroller setup displaying real-time temperature and humidity readings on an LCD screen.</w:t>
      </w:r>
    </w:p>
    <w:p w14:paraId="154A2388" w14:textId="54E65B27" w:rsidR="005F3D39" w:rsidRDefault="005F3D39" w:rsidP="00027BDA">
      <w:pPr>
        <w:spacing w:after="120"/>
        <w:jc w:val="center"/>
      </w:pPr>
    </w:p>
    <w:p w14:paraId="5841CA3B" w14:textId="77777777" w:rsidR="005F3D39" w:rsidRDefault="00307D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0EAEEE56" wp14:editId="67FA23B8">
            <wp:extent cx="3017520" cy="4023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6798" w14:textId="67A7751E" w:rsidR="00027BDA" w:rsidRPr="00027BDA" w:rsidRDefault="00027BDA" w:rsidP="00027BDA">
      <w:pPr>
        <w:spacing w:after="120"/>
        <w:jc w:val="center"/>
      </w:pPr>
      <w:r>
        <w:rPr>
          <w:sz w:val="18"/>
        </w:rPr>
        <w:t>Fig. 7. Final deployed hardware with 3D-printed enclosures and Cat5e terminations.</w:t>
      </w:r>
    </w:p>
    <w:p w14:paraId="429461BA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023938D1" wp14:editId="68455DC6">
            <wp:extent cx="3017520" cy="4685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6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3541" w14:textId="556E0B9D" w:rsidR="00027BDA" w:rsidRPr="00027BDA" w:rsidRDefault="00027BDA" w:rsidP="00027BDA">
      <w:pPr>
        <w:spacing w:after="120"/>
        <w:jc w:val="center"/>
      </w:pPr>
      <w:r>
        <w:rPr>
          <w:sz w:val="18"/>
        </w:rPr>
        <w:t xml:space="preserve">Fig. 8. Alert-server console log showing successful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 xml:space="preserve"> poll, active threshold tiers, and per-sensor temperatures.</w:t>
      </w:r>
    </w:p>
    <w:p w14:paraId="32840DF6" w14:textId="77777777" w:rsidR="005F3D39" w:rsidRDefault="00307D00">
      <w:pPr>
        <w:spacing w:before="120" w:after="60"/>
      </w:pPr>
      <w:r>
        <w:rPr>
          <w:i/>
        </w:rPr>
        <w:t>B.  Alert Server</w:t>
      </w:r>
    </w:p>
    <w:p w14:paraId="0F18572F" w14:textId="77777777" w:rsidR="005F3D39" w:rsidRDefault="00307D00">
      <w:pPr>
        <w:spacing w:after="40"/>
        <w:ind w:firstLine="288"/>
        <w:jc w:val="both"/>
      </w:pPr>
      <w:r>
        <w:t xml:space="preserve">The </w:t>
      </w:r>
      <w:proofErr w:type="spellStart"/>
      <w:r>
        <w:t>FastAPI</w:t>
      </w:r>
      <w:proofErr w:type="spellEnd"/>
      <w:r>
        <w:t xml:space="preserve"> service polls </w:t>
      </w:r>
      <w:proofErr w:type="spellStart"/>
      <w:r>
        <w:t>Supabase</w:t>
      </w:r>
      <w:proofErr w:type="spellEnd"/>
      <w:r>
        <w:t xml:space="preserve"> every POLL_INTERVAL seconds, fetches the ten most recent rows ordered by </w:t>
      </w:r>
      <w:proofErr w:type="spellStart"/>
      <w:r>
        <w:t>r</w:t>
      </w:r>
      <w:r>
        <w:t>ecorded_at</w:t>
      </w:r>
      <w:proofErr w:type="spellEnd"/>
      <w:r>
        <w:t xml:space="preserve">, classifies each reading into NORMAL, WARNING, HIGH, or CRITICAL using priority-first matching, and appends an event to </w:t>
      </w:r>
      <w:proofErr w:type="spellStart"/>
      <w:r>
        <w:t>alert_logs</w:t>
      </w:r>
      <w:proofErr w:type="spellEnd"/>
      <w:r>
        <w:t xml:space="preserve"> on a tier breach. A 1 °C hysteresis prevents alert flapping near a threshold (Fig. 9). Tenacity provides exponenti</w:t>
      </w:r>
      <w:r>
        <w:t xml:space="preserve">al </w:t>
      </w:r>
      <w:proofErr w:type="spellStart"/>
      <w:r>
        <w:t>backoff</w:t>
      </w:r>
      <w:proofErr w:type="spellEnd"/>
      <w:r>
        <w:t xml:space="preserve"> for SMTP and </w:t>
      </w:r>
      <w:proofErr w:type="spellStart"/>
      <w:r>
        <w:t>Supabase</w:t>
      </w:r>
      <w:proofErr w:type="spellEnd"/>
      <w:r>
        <w:t xml:space="preserve"> retries [22]. A cache (TTL 30 s) refreshes thresholds and recipients without blocking the polling loop.</w:t>
      </w:r>
    </w:p>
    <w:p w14:paraId="33D55E1F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482B6972" wp14:editId="44791634">
            <wp:extent cx="3017520" cy="11661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6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F764" w14:textId="77777777" w:rsidR="00027BDA" w:rsidRDefault="00027BDA" w:rsidP="00027BDA">
      <w:pPr>
        <w:spacing w:after="120"/>
        <w:jc w:val="center"/>
      </w:pPr>
      <w:r>
        <w:rPr>
          <w:sz w:val="18"/>
        </w:rPr>
        <w:t xml:space="preserve">Fig. 6. Bench prototype confirming LCD output and POST </w:t>
      </w:r>
      <w:proofErr w:type="spellStart"/>
      <w:r>
        <w:rPr>
          <w:sz w:val="18"/>
        </w:rPr>
        <w:t>behaviour</w:t>
      </w:r>
      <w:proofErr w:type="spellEnd"/>
      <w:r>
        <w:rPr>
          <w:sz w:val="18"/>
        </w:rPr>
        <w:t xml:space="preserve"> against the simulation.</w:t>
      </w:r>
    </w:p>
    <w:p w14:paraId="636F30E9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74558FEB" wp14:editId="117F3212">
            <wp:extent cx="3017520" cy="13429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3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3FB9" w14:textId="77777777" w:rsidR="005F3D39" w:rsidRDefault="00307D00">
      <w:pPr>
        <w:spacing w:after="120"/>
        <w:jc w:val="center"/>
      </w:pPr>
      <w:r>
        <w:rPr>
          <w:sz w:val="18"/>
        </w:rPr>
        <w:t>Fig. 9. Priority-first thr</w:t>
      </w:r>
      <w:r>
        <w:rPr>
          <w:sz w:val="18"/>
        </w:rPr>
        <w:t>eshold state model with 1 °C hysteresis (CRITICAL &gt; HIGH &gt; WARNING &gt; NORMAL).</w:t>
      </w:r>
    </w:p>
    <w:p w14:paraId="0CFD7753" w14:textId="77777777" w:rsidR="005F3D39" w:rsidRDefault="00307D00">
      <w:pPr>
        <w:spacing w:before="120" w:after="60"/>
      </w:pPr>
      <w:r>
        <w:rPr>
          <w:i/>
        </w:rPr>
        <w:t>C.  Dashboard</w:t>
      </w:r>
    </w:p>
    <w:p w14:paraId="72D759D4" w14:textId="77777777" w:rsidR="005F3D39" w:rsidRDefault="00307D00">
      <w:pPr>
        <w:spacing w:after="40"/>
        <w:ind w:firstLine="288"/>
        <w:jc w:val="both"/>
      </w:pPr>
      <w:r>
        <w:t>The React/</w:t>
      </w:r>
      <w:proofErr w:type="spellStart"/>
      <w:r>
        <w:t>TypeScript</w:t>
      </w:r>
      <w:proofErr w:type="spellEnd"/>
      <w:r>
        <w:t xml:space="preserve"> dashboard offers authenticated login (</w:t>
      </w:r>
      <w:proofErr w:type="spellStart"/>
      <w:r>
        <w:t>bcrypt</w:t>
      </w:r>
      <w:proofErr w:type="spellEnd"/>
      <w:r>
        <w:t xml:space="preserve">-hashed passwords), live sensor cards, historical </w:t>
      </w:r>
      <w:proofErr w:type="spellStart"/>
      <w:r>
        <w:t>Recharts</w:t>
      </w:r>
      <w:proofErr w:type="spellEnd"/>
      <w:r>
        <w:t xml:space="preserve"> trend graphs, user management, </w:t>
      </w:r>
      <w:r>
        <w:t xml:space="preserve">alert-recipient management, threshold configuration (both backend alert thresholds and hardware LED thresholds), and an alert-history view. All data is read from </w:t>
      </w:r>
      <w:proofErr w:type="spellStart"/>
      <w:r>
        <w:t>Supabase</w:t>
      </w:r>
      <w:proofErr w:type="spellEnd"/>
      <w:r>
        <w:t xml:space="preserve"> via the REST API, with React Query handling caching and revalidation.</w:t>
      </w:r>
    </w:p>
    <w:p w14:paraId="4A9E2070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57B08E37" wp14:editId="2B4CBE3B">
            <wp:extent cx="3017520" cy="17642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76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3D6F" w14:textId="3A92F673" w:rsidR="005F3D39" w:rsidRDefault="00307D00">
      <w:pPr>
        <w:spacing w:after="120"/>
        <w:jc w:val="center"/>
        <w:rPr>
          <w:sz w:val="18"/>
        </w:rPr>
      </w:pPr>
      <w:r>
        <w:rPr>
          <w:sz w:val="18"/>
        </w:rPr>
        <w:t xml:space="preserve">Fig. 10. </w:t>
      </w:r>
      <w:r w:rsidR="003637A5">
        <w:rPr>
          <w:sz w:val="18"/>
        </w:rPr>
        <w:t>3D module</w:t>
      </w:r>
    </w:p>
    <w:p w14:paraId="60BD6729" w14:textId="77777777" w:rsidR="00027BDA" w:rsidRDefault="00027BDA">
      <w:pPr>
        <w:spacing w:after="120"/>
        <w:jc w:val="center"/>
      </w:pPr>
    </w:p>
    <w:p w14:paraId="0DF48F83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3A2AA6A4" wp14:editId="1147A6D1">
            <wp:extent cx="2377440" cy="11637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1866" w14:textId="6BB1003F" w:rsidR="00027BDA" w:rsidRDefault="00027BDA" w:rsidP="00027BDA">
      <w:pPr>
        <w:spacing w:after="120"/>
        <w:jc w:val="center"/>
      </w:pPr>
      <w:r>
        <w:rPr>
          <w:sz w:val="18"/>
        </w:rPr>
        <w:t>Fig. 10. Live monitoring dashboard with intake and exhaust readings.</w:t>
      </w:r>
    </w:p>
    <w:p w14:paraId="77B2B272" w14:textId="77777777" w:rsidR="005F3D39" w:rsidRDefault="00307D00">
      <w:pPr>
        <w:spacing w:before="120" w:after="60"/>
      </w:pPr>
      <w:proofErr w:type="gramStart"/>
      <w:r>
        <w:rPr>
          <w:i/>
        </w:rPr>
        <w:t>D.  3D</w:t>
      </w:r>
      <w:proofErr w:type="gramEnd"/>
      <w:r>
        <w:rPr>
          <w:i/>
        </w:rPr>
        <w:t>-Printed Enclosure</w:t>
      </w:r>
    </w:p>
    <w:p w14:paraId="1D74BAD3" w14:textId="77777777" w:rsidR="005F3D39" w:rsidRDefault="00307D00">
      <w:pPr>
        <w:spacing w:after="40"/>
        <w:ind w:firstLine="288"/>
        <w:jc w:val="both"/>
      </w:pPr>
      <w:r>
        <w:t>The hardware is housed in two enclosures connected by an I²C cable: a computation/sensing box (ESP32, DHT22) and a display box (1602A LCD, HW-479 RGB LED</w:t>
      </w:r>
      <w:r>
        <w:t xml:space="preserve">). Prints were initially produced on a </w:t>
      </w:r>
      <w:proofErr w:type="spellStart"/>
      <w:r>
        <w:t>Zortrax</w:t>
      </w:r>
      <w:proofErr w:type="spellEnd"/>
      <w:r>
        <w:t xml:space="preserve"> M200 Plus with Z-SUITE and exhibited stringing, over-extrusion, and internal blobs that prevented sensor seating. Final prints used a </w:t>
      </w:r>
      <w:proofErr w:type="spellStart"/>
      <w:r>
        <w:t>Bambu</w:t>
      </w:r>
      <w:proofErr w:type="spellEnd"/>
      <w:r>
        <w:t xml:space="preserve"> Lab H2D Pro with </w:t>
      </w:r>
      <w:proofErr w:type="spellStart"/>
      <w:r>
        <w:t>Bambu</w:t>
      </w:r>
      <w:proofErr w:type="spellEnd"/>
      <w:r>
        <w:t xml:space="preserve"> Studio, producing clean interiors and dimensio</w:t>
      </w:r>
      <w:r>
        <w:t>nal accuracy that passed fit verification.</w:t>
      </w:r>
    </w:p>
    <w:p w14:paraId="222FEA6D" w14:textId="77777777" w:rsidR="005F3D39" w:rsidRDefault="00307D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04D74D1D" wp14:editId="52B5F2F4">
            <wp:extent cx="3017520" cy="2702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0CCC" w14:textId="77777777" w:rsidR="005F3D39" w:rsidRDefault="00307D00">
      <w:pPr>
        <w:spacing w:after="120"/>
        <w:jc w:val="center"/>
      </w:pPr>
      <w:r>
        <w:rPr>
          <w:sz w:val="18"/>
        </w:rPr>
        <w:t>Fig. 12. Sensor case (final) with clean interior and secure sensor seating.</w:t>
      </w:r>
    </w:p>
    <w:p w14:paraId="1194C69A" w14:textId="77777777" w:rsidR="005F3D39" w:rsidRDefault="00307D00">
      <w:pPr>
        <w:spacing w:before="120" w:after="60"/>
        <w:jc w:val="center"/>
      </w:pPr>
      <w:r>
        <w:rPr>
          <w:b/>
          <w:smallCaps/>
        </w:rPr>
        <w:t>V.  Empirical Sensor-Placement Study</w:t>
      </w:r>
    </w:p>
    <w:p w14:paraId="1393C948" w14:textId="77777777" w:rsidR="005F3D39" w:rsidRDefault="00307D00">
      <w:pPr>
        <w:spacing w:after="40"/>
        <w:ind w:firstLine="288"/>
        <w:jc w:val="both"/>
      </w:pPr>
      <w:r>
        <w:t>Four physical zones were tested under open-door and closed-door conditions. ASHRAE TC 9.9 Class A1</w:t>
      </w:r>
      <w:r>
        <w:t xml:space="preserve"> thresholds [1] were the evaluation basis (safe ≤ 27.0 °C; warning 27.1–31.9 °C; critical ≥ 32.0 °C; ESD risk &lt; 30 % RH). Zone 1 (top-rear, exhaust) recorded 29.0 °C and 23.2 % RH under closed-door conditions, simultaneously breaching the warning temperatu</w:t>
      </w:r>
      <w:r>
        <w:t>re band and the ESD-risk humidity floor. The closed-door spike was Δ8.5 °C from the open-door baseline, proving Zone 1 is the highest-volatility location and the correct early-warning placement.</w:t>
      </w:r>
    </w:p>
    <w:p w14:paraId="1FCF2C72" w14:textId="77777777" w:rsidR="005F3D39" w:rsidRDefault="00307D00">
      <w:pPr>
        <w:spacing w:before="60"/>
        <w:jc w:val="center"/>
      </w:pPr>
      <w:r>
        <w:rPr>
          <w:noProof/>
        </w:rPr>
        <w:drawing>
          <wp:inline distT="0" distB="0" distL="0" distR="0" wp14:anchorId="52472BCB" wp14:editId="0F67DB39">
            <wp:extent cx="3017520" cy="16455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D0A7" w14:textId="5D9F5ABA" w:rsidR="005F3D39" w:rsidRDefault="00307D00">
      <w:pPr>
        <w:spacing w:after="120"/>
        <w:jc w:val="center"/>
      </w:pPr>
      <w:r>
        <w:rPr>
          <w:sz w:val="18"/>
        </w:rPr>
        <w:t xml:space="preserve">Fig. 14. </w:t>
      </w:r>
      <w:r w:rsidR="003637A5">
        <w:rPr>
          <w:sz w:val="18"/>
        </w:rPr>
        <w:t>Hot-aisle / cold-aisle placement strategy with Zone 1 chosen as the early-warning location.</w:t>
      </w:r>
    </w:p>
    <w:p w14:paraId="23997C33" w14:textId="77777777" w:rsidR="005F3D39" w:rsidRDefault="00307D00">
      <w:pPr>
        <w:spacing w:before="120" w:after="60"/>
        <w:jc w:val="center"/>
      </w:pPr>
      <w:r>
        <w:rPr>
          <w:b/>
          <w:smallCaps/>
        </w:rPr>
        <w:t>VI</w:t>
      </w:r>
      <w:proofErr w:type="gramStart"/>
      <w:r>
        <w:rPr>
          <w:b/>
          <w:smallCaps/>
        </w:rPr>
        <w:t>.  Fault</w:t>
      </w:r>
      <w:proofErr w:type="gramEnd"/>
      <w:r>
        <w:rPr>
          <w:b/>
          <w:smallCaps/>
        </w:rPr>
        <w:t xml:space="preserve"> Tolerance</w:t>
      </w:r>
    </w:p>
    <w:p w14:paraId="523E68B9" w14:textId="77777777" w:rsidR="005F3D39" w:rsidRDefault="00307D00">
      <w:pPr>
        <w:spacing w:after="40"/>
        <w:ind w:firstLine="288"/>
        <w:jc w:val="both"/>
      </w:pPr>
      <w:r>
        <w:t>Reliability is achieved through (</w:t>
      </w:r>
      <w:proofErr w:type="spellStart"/>
      <w:r>
        <w:t>i</w:t>
      </w:r>
      <w:proofErr w:type="spellEnd"/>
      <w:r>
        <w:t>) a 32-entry ring buffer on the ESP32 that retains readings until a successful HTTP 201 acknowledgement, with oldest-first eviction on overflow; (ii) Wi-Fi aut</w:t>
      </w:r>
      <w:r>
        <w:t xml:space="preserve">o-reconnect with exponential </w:t>
      </w:r>
      <w:proofErr w:type="spellStart"/>
      <w:r>
        <w:t>backoff</w:t>
      </w:r>
      <w:proofErr w:type="spellEnd"/>
      <w:r>
        <w:t xml:space="preserve"> (2 s base, 64 s ceiling); (iii) HTTP retry classification distinguishing </w:t>
      </w:r>
      <w:proofErr w:type="spellStart"/>
      <w:r>
        <w:t>retryable</w:t>
      </w:r>
      <w:proofErr w:type="spellEnd"/>
      <w:r>
        <w:t xml:space="preserve"> 5xx and network errors from non-</w:t>
      </w:r>
      <w:proofErr w:type="spellStart"/>
      <w:r>
        <w:t>retryable</w:t>
      </w:r>
      <w:proofErr w:type="spellEnd"/>
      <w:r>
        <w:t xml:space="preserve"> 4xx; and (iv) Tenacity-based retries on the </w:t>
      </w:r>
      <w:proofErr w:type="spellStart"/>
      <w:r>
        <w:t>FastAPI</w:t>
      </w:r>
      <w:proofErr w:type="spellEnd"/>
      <w:r>
        <w:t xml:space="preserve"> side for transient </w:t>
      </w:r>
      <w:proofErr w:type="spellStart"/>
      <w:r>
        <w:t>Supabase</w:t>
      </w:r>
      <w:proofErr w:type="spellEnd"/>
      <w:r>
        <w:t xml:space="preserve"> failures.</w:t>
      </w:r>
    </w:p>
    <w:p w14:paraId="3F4463E3" w14:textId="77777777" w:rsidR="005F3D39" w:rsidRDefault="00307D00">
      <w:pPr>
        <w:spacing w:after="40"/>
        <w:ind w:firstLine="288"/>
        <w:jc w:val="both"/>
      </w:pPr>
      <w:r>
        <w:t>Test</w:t>
      </w:r>
      <w:r>
        <w:t xml:space="preserve"> cases T1 (</w:t>
      </w:r>
      <w:proofErr w:type="spellStart"/>
      <w:r>
        <w:t>Supabase</w:t>
      </w:r>
      <w:proofErr w:type="spellEnd"/>
      <w:r>
        <w:t xml:space="preserve"> unreachable), T2 (30 % packet loss), T4 (HTTP 500 recovery), and T8 (ring-buffer overflow) all pass with the expected </w:t>
      </w:r>
      <w:proofErr w:type="spellStart"/>
      <w:r>
        <w:t>behaviour</w:t>
      </w:r>
      <w:proofErr w:type="spellEnd"/>
      <w:r>
        <w:t>, confirming that no readings are silently lost and that alerts continue once connectivity returns.</w:t>
      </w:r>
    </w:p>
    <w:p w14:paraId="3DB8DDC5" w14:textId="77777777" w:rsidR="005F3D39" w:rsidRDefault="00307D00">
      <w:pPr>
        <w:spacing w:before="120" w:after="60"/>
        <w:jc w:val="center"/>
      </w:pPr>
      <w:r>
        <w:rPr>
          <w:b/>
          <w:smallCaps/>
        </w:rPr>
        <w:t>VII</w:t>
      </w:r>
      <w:proofErr w:type="gramStart"/>
      <w:r>
        <w:rPr>
          <w:b/>
          <w:smallCaps/>
        </w:rPr>
        <w:t>.  Res</w:t>
      </w:r>
      <w:r>
        <w:rPr>
          <w:b/>
          <w:smallCaps/>
        </w:rPr>
        <w:t>ults</w:t>
      </w:r>
      <w:proofErr w:type="gramEnd"/>
      <w:r>
        <w:rPr>
          <w:b/>
          <w:smallCaps/>
        </w:rPr>
        <w:t xml:space="preserve"> and Discussion</w:t>
      </w:r>
    </w:p>
    <w:p w14:paraId="7820B464" w14:textId="77777777" w:rsidR="005F3D39" w:rsidRDefault="00307D00">
      <w:pPr>
        <w:spacing w:after="40"/>
        <w:ind w:firstLine="288"/>
        <w:jc w:val="both"/>
      </w:pPr>
      <w:r>
        <w:t xml:space="preserve">End-to-end latency from sensor read to dashboard update is consistently below 2 s under normal network conditions. Alerts are dispatched within 5 s of a threshold breach. Sensor drift between DHT11 and DHT22 stayed within 0.9 °C across </w:t>
      </w:r>
      <w:r>
        <w:t>ambient, heated (dryer), cold (fan), and 24-hour endurance conditions. Five coverage-validation test cases (TC-CV-01 through TC-CV-05) all pass, demonstrating that Zone 1 placement detects thermal events 3.5 °C earlier than Zone 4 (floor level) and that th</w:t>
      </w:r>
      <w:r>
        <w:t>e dual-sensor spatial gradient is preserved across open and closed states. No critical blind spots were identified.</w:t>
      </w:r>
    </w:p>
    <w:p w14:paraId="19B55AC3" w14:textId="77777777" w:rsidR="005F3D39" w:rsidRDefault="00307D00">
      <w:pPr>
        <w:spacing w:before="120" w:after="60"/>
        <w:jc w:val="center"/>
      </w:pPr>
      <w:r>
        <w:rPr>
          <w:b/>
          <w:smallCaps/>
        </w:rPr>
        <w:t>VIII</w:t>
      </w:r>
      <w:proofErr w:type="gramStart"/>
      <w:r>
        <w:rPr>
          <w:b/>
          <w:smallCaps/>
        </w:rPr>
        <w:t>.  Conclusion</w:t>
      </w:r>
      <w:proofErr w:type="gramEnd"/>
      <w:r>
        <w:rPr>
          <w:b/>
          <w:smallCaps/>
        </w:rPr>
        <w:t xml:space="preserve"> and Future Work</w:t>
      </w:r>
    </w:p>
    <w:p w14:paraId="5D67BD2F" w14:textId="77777777" w:rsidR="005F3D39" w:rsidRDefault="00307D00">
      <w:pPr>
        <w:spacing w:after="40"/>
        <w:ind w:firstLine="288"/>
        <w:jc w:val="both"/>
      </w:pPr>
      <w:r>
        <w:t xml:space="preserve">We presented a complete </w:t>
      </w:r>
      <w:proofErr w:type="spellStart"/>
      <w:r>
        <w:t>IoT</w:t>
      </w:r>
      <w:proofErr w:type="spellEnd"/>
      <w:r>
        <w:t xml:space="preserve"> temperature-monitoring stack for HPC environments. The combination of empirica</w:t>
      </w:r>
      <w:r>
        <w:t>l placement validation, direct-to-cloud transmission, fault-tolerant firmware, priority-first alert classification with hysteresis, and an administrative dashboard delivers reliable, configurable monitoring at low cost. Future work includes (a) integration</w:t>
      </w:r>
      <w:r>
        <w:t xml:space="preserve"> of additional alert channels (SMS, Telegram, </w:t>
      </w:r>
      <w:proofErr w:type="gramStart"/>
      <w:r>
        <w:t>Slack</w:t>
      </w:r>
      <w:proofErr w:type="gramEnd"/>
      <w:r>
        <w:t>); (b) anomaly detection from historical readings; (c) automated calibration drift detection across the sensor fleet; and (d) horizontal scaling to multi-rack deployments.</w:t>
      </w:r>
    </w:p>
    <w:p w14:paraId="69BE614A" w14:textId="77777777" w:rsidR="00CB20D2" w:rsidRDefault="00CB20D2">
      <w:pPr>
        <w:spacing w:before="120" w:after="60"/>
        <w:jc w:val="center"/>
        <w:rPr>
          <w:b/>
          <w:smallCaps/>
        </w:rPr>
      </w:pPr>
    </w:p>
    <w:p w14:paraId="6FD1A5D0" w14:textId="46168A24" w:rsidR="005F3D39" w:rsidRDefault="00307D00">
      <w:pPr>
        <w:spacing w:before="120" w:after="60"/>
        <w:jc w:val="center"/>
      </w:pPr>
      <w:r>
        <w:rPr>
          <w:b/>
          <w:smallCaps/>
        </w:rPr>
        <w:t>IX</w:t>
      </w:r>
      <w:proofErr w:type="gramStart"/>
      <w:r>
        <w:rPr>
          <w:b/>
          <w:smallCaps/>
        </w:rPr>
        <w:t>.  Acknowledgment</w:t>
      </w:r>
      <w:proofErr w:type="gramEnd"/>
    </w:p>
    <w:p w14:paraId="58D3126C" w14:textId="77777777" w:rsidR="005F3D39" w:rsidRDefault="00307D00">
      <w:pPr>
        <w:spacing w:after="40"/>
        <w:ind w:firstLine="288"/>
        <w:jc w:val="both"/>
      </w:pPr>
      <w:r>
        <w:t xml:space="preserve">The authors </w:t>
      </w:r>
      <w:r>
        <w:t xml:space="preserve">thank Prof. Dr. </w:t>
      </w:r>
      <w:proofErr w:type="spellStart"/>
      <w:r>
        <w:t>Akhan</w:t>
      </w:r>
      <w:proofErr w:type="spellEnd"/>
      <w:r>
        <w:t xml:space="preserve"> </w:t>
      </w:r>
      <w:proofErr w:type="spellStart"/>
      <w:r>
        <w:t>Akbulut</w:t>
      </w:r>
      <w:proofErr w:type="spellEnd"/>
      <w:r>
        <w:t xml:space="preserve"> and Teaching Assistant </w:t>
      </w:r>
      <w:proofErr w:type="spellStart"/>
      <w:r>
        <w:t>Büşra</w:t>
      </w:r>
      <w:proofErr w:type="spellEnd"/>
      <w:r>
        <w:t xml:space="preserve"> </w:t>
      </w:r>
      <w:proofErr w:type="spellStart"/>
      <w:r>
        <w:t>Kocaçınar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for guidance during COM6064 at T.C. İstanbul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Üniversitesi</w:t>
      </w:r>
      <w:proofErr w:type="spellEnd"/>
      <w:r>
        <w:t>.</w:t>
      </w:r>
    </w:p>
    <w:p w14:paraId="3476AECC" w14:textId="77777777" w:rsidR="005F3D39" w:rsidRDefault="00307D00">
      <w:pPr>
        <w:spacing w:before="120" w:after="60"/>
        <w:jc w:val="center"/>
      </w:pPr>
      <w:r>
        <w:rPr>
          <w:b/>
          <w:smallCaps/>
        </w:rPr>
        <w:t>X.  References</w:t>
      </w:r>
    </w:p>
    <w:p w14:paraId="481CA1B9" w14:textId="4175F64E" w:rsidR="005F3D39" w:rsidRDefault="00307D00">
      <w:pPr>
        <w:spacing w:after="20"/>
        <w:ind w:left="360" w:hanging="360"/>
      </w:pPr>
      <w:r>
        <w:rPr>
          <w:sz w:val="18"/>
        </w:rPr>
        <w:t xml:space="preserve">[1] </w:t>
      </w:r>
      <w:hyperlink r:id="rId25" w:history="1">
        <w:r w:rsidRPr="008B4CC1">
          <w:rPr>
            <w:rStyle w:val="Hyperlink"/>
            <w:sz w:val="18"/>
          </w:rPr>
          <w:t>ASHRAE Technical Committee 9.9, Thermal Guidelines for Data Processing Environments, 5th ed., Atlanta, GA: ASHRAE, 2021.</w:t>
        </w:r>
      </w:hyperlink>
    </w:p>
    <w:p w14:paraId="0D751957" w14:textId="18AC1907" w:rsidR="005F3D39" w:rsidRDefault="00307D00">
      <w:pPr>
        <w:spacing w:after="20"/>
        <w:ind w:left="360" w:hanging="360"/>
      </w:pPr>
      <w:r>
        <w:rPr>
          <w:sz w:val="18"/>
        </w:rPr>
        <w:t xml:space="preserve">[2] </w:t>
      </w:r>
      <w:hyperlink r:id="rId26" w:history="1">
        <w:r w:rsidRPr="008B4CC1">
          <w:rPr>
            <w:rStyle w:val="Hyperlink"/>
            <w:sz w:val="18"/>
          </w:rPr>
          <w:t xml:space="preserve">A. Capozzoli and G. </w:t>
        </w:r>
        <w:proofErr w:type="spellStart"/>
        <w:r w:rsidRPr="008B4CC1">
          <w:rPr>
            <w:rStyle w:val="Hyperlink"/>
            <w:sz w:val="18"/>
          </w:rPr>
          <w:t>Primiceri</w:t>
        </w:r>
        <w:proofErr w:type="spellEnd"/>
        <w:r w:rsidRPr="008B4CC1">
          <w:rPr>
            <w:rStyle w:val="Hyperlink"/>
            <w:sz w:val="18"/>
          </w:rPr>
          <w:t>, "Cooling systems in data centers: State of art and emerging technologies," Energy Procedia, vol. 83, pp. 484–493, 2015.</w:t>
        </w:r>
      </w:hyperlink>
    </w:p>
    <w:p w14:paraId="6059DDFE" w14:textId="57E9716C" w:rsidR="005F3D39" w:rsidRDefault="00307D00">
      <w:pPr>
        <w:spacing w:after="20"/>
        <w:ind w:left="360" w:hanging="360"/>
      </w:pPr>
      <w:r>
        <w:rPr>
          <w:sz w:val="18"/>
        </w:rPr>
        <w:t xml:space="preserve">[3] </w:t>
      </w:r>
      <w:hyperlink r:id="rId27" w:history="1">
        <w:r w:rsidRPr="008B4CC1">
          <w:rPr>
            <w:rStyle w:val="Hyperlink"/>
            <w:sz w:val="18"/>
          </w:rPr>
          <w:t>Random Nerd Tutorials, "Complete guide for DHT11/DHT22 humidity and temperature sensor with Arduino," 2019.</w:t>
        </w:r>
      </w:hyperlink>
    </w:p>
    <w:p w14:paraId="72A64CBC" w14:textId="48C42B26" w:rsidR="005F3D39" w:rsidRDefault="00307D00">
      <w:pPr>
        <w:spacing w:after="20"/>
        <w:ind w:left="360" w:hanging="360"/>
      </w:pPr>
      <w:r>
        <w:rPr>
          <w:sz w:val="18"/>
        </w:rPr>
        <w:t xml:space="preserve">[4] </w:t>
      </w:r>
      <w:hyperlink r:id="rId28" w:history="1">
        <w:r w:rsidRPr="008B4CC1">
          <w:rPr>
            <w:rStyle w:val="Hyperlink"/>
            <w:sz w:val="18"/>
          </w:rPr>
          <w:t xml:space="preserve">R. </w:t>
        </w:r>
        <w:proofErr w:type="spellStart"/>
        <w:r w:rsidRPr="008B4CC1">
          <w:rPr>
            <w:rStyle w:val="Hyperlink"/>
            <w:sz w:val="18"/>
          </w:rPr>
          <w:t>Mischia</w:t>
        </w:r>
        <w:r w:rsidRPr="008B4CC1">
          <w:rPr>
            <w:rStyle w:val="Hyperlink"/>
            <w:sz w:val="18"/>
          </w:rPr>
          <w:t>nti</w:t>
        </w:r>
        <w:proofErr w:type="spellEnd"/>
        <w:r w:rsidRPr="008B4CC1">
          <w:rPr>
            <w:rStyle w:val="Hyperlink"/>
            <w:sz w:val="18"/>
          </w:rPr>
          <w:t xml:space="preserve">, "DOIT ESP32 </w:t>
        </w:r>
        <w:proofErr w:type="spellStart"/>
        <w:r w:rsidRPr="008B4CC1">
          <w:rPr>
            <w:rStyle w:val="Hyperlink"/>
            <w:sz w:val="18"/>
          </w:rPr>
          <w:t>DevKit</w:t>
        </w:r>
        <w:proofErr w:type="spellEnd"/>
        <w:r w:rsidRPr="008B4CC1">
          <w:rPr>
            <w:rStyle w:val="Hyperlink"/>
            <w:sz w:val="18"/>
          </w:rPr>
          <w:t xml:space="preserve"> V1 — high-resolution pinout and specs," 2021.</w:t>
        </w:r>
      </w:hyperlink>
    </w:p>
    <w:p w14:paraId="70DAC4FA" w14:textId="47546B0C" w:rsidR="005F3D39" w:rsidRDefault="00307D00">
      <w:pPr>
        <w:spacing w:after="20"/>
        <w:ind w:left="360" w:hanging="360"/>
      </w:pPr>
      <w:r>
        <w:rPr>
          <w:sz w:val="18"/>
        </w:rPr>
        <w:t xml:space="preserve">[5] </w:t>
      </w:r>
      <w:hyperlink r:id="rId29" w:history="1">
        <w:r w:rsidRPr="008B4CC1">
          <w:rPr>
            <w:rStyle w:val="Hyperlink"/>
            <w:sz w:val="18"/>
          </w:rPr>
          <w:t>Last Minute Engineers, "ESP32 pinout reference," 2022.</w:t>
        </w:r>
      </w:hyperlink>
    </w:p>
    <w:p w14:paraId="13C38E41" w14:textId="7FFA4A34" w:rsidR="005F3D39" w:rsidRDefault="00307D00">
      <w:pPr>
        <w:spacing w:after="20"/>
        <w:ind w:left="360" w:hanging="360"/>
      </w:pPr>
      <w:r>
        <w:rPr>
          <w:sz w:val="18"/>
        </w:rPr>
        <w:t xml:space="preserve">[6] </w:t>
      </w:r>
      <w:proofErr w:type="spellStart"/>
      <w:r>
        <w:rPr>
          <w:sz w:val="18"/>
        </w:rPr>
        <w:t>Wokwi</w:t>
      </w:r>
      <w:proofErr w:type="spellEnd"/>
      <w:r>
        <w:rPr>
          <w:sz w:val="18"/>
        </w:rPr>
        <w:t xml:space="preserve">, "ESP32 online simulator," 2024. [Online]. Available: </w:t>
      </w:r>
      <w:hyperlink r:id="rId30" w:history="1">
        <w:r w:rsidRPr="008B4CC1">
          <w:rPr>
            <w:rStyle w:val="Hyperlink"/>
            <w:sz w:val="18"/>
          </w:rPr>
          <w:t>https://wokwi.com/esp32</w:t>
        </w:r>
      </w:hyperlink>
      <w:r>
        <w:rPr>
          <w:sz w:val="18"/>
        </w:rPr>
        <w:t>.</w:t>
      </w:r>
    </w:p>
    <w:p w14:paraId="50350896" w14:textId="3A2B517B" w:rsidR="005F3D39" w:rsidRDefault="00307D00">
      <w:pPr>
        <w:spacing w:after="20"/>
        <w:ind w:left="360" w:hanging="360"/>
      </w:pPr>
      <w:r>
        <w:rPr>
          <w:sz w:val="18"/>
        </w:rPr>
        <w:t xml:space="preserve">[7] </w:t>
      </w:r>
      <w:hyperlink r:id="rId31" w:history="1">
        <w:proofErr w:type="spellStart"/>
        <w:r w:rsidRPr="008B4CC1">
          <w:rPr>
            <w:rStyle w:val="Hyperlink"/>
            <w:sz w:val="18"/>
          </w:rPr>
          <w:t>Espressif</w:t>
        </w:r>
        <w:proofErr w:type="spellEnd"/>
        <w:r w:rsidRPr="008B4CC1">
          <w:rPr>
            <w:rStyle w:val="Hyperlink"/>
            <w:sz w:val="18"/>
          </w:rPr>
          <w:t xml:space="preserve"> Systems, "ESP32-WROOM-32 datasheet," rev. 3.6.</w:t>
        </w:r>
      </w:hyperlink>
    </w:p>
    <w:p w14:paraId="1D974C71" w14:textId="50C5D54C" w:rsidR="005F3D39" w:rsidRDefault="00307D00">
      <w:pPr>
        <w:spacing w:after="20"/>
        <w:ind w:left="360" w:hanging="360"/>
      </w:pPr>
      <w:r>
        <w:rPr>
          <w:sz w:val="18"/>
        </w:rPr>
        <w:t xml:space="preserve">[8] </w:t>
      </w:r>
      <w:hyperlink r:id="rId32" w:history="1">
        <w:proofErr w:type="spellStart"/>
        <w:r w:rsidRPr="008B4CC1">
          <w:rPr>
            <w:rStyle w:val="Hyperlink"/>
            <w:sz w:val="18"/>
          </w:rPr>
          <w:t>Adafruit</w:t>
        </w:r>
        <w:proofErr w:type="spellEnd"/>
        <w:r w:rsidRPr="008B4CC1">
          <w:rPr>
            <w:rStyle w:val="Hyperlink"/>
            <w:sz w:val="18"/>
          </w:rPr>
          <w:t xml:space="preserve"> Industries, "DHT sensor library for Arduino (DHT11, DHT22)," GitHub.</w:t>
        </w:r>
      </w:hyperlink>
    </w:p>
    <w:p w14:paraId="505C5EBF" w14:textId="14711C59" w:rsidR="005F3D39" w:rsidRDefault="00307D00">
      <w:pPr>
        <w:spacing w:after="20"/>
        <w:ind w:left="360" w:hanging="360"/>
      </w:pPr>
      <w:r>
        <w:rPr>
          <w:sz w:val="18"/>
        </w:rPr>
        <w:t xml:space="preserve">[9]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>, Inc., "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 xml:space="preserve"> documentation," 2024. [Online]. Available: </w:t>
      </w:r>
      <w:hyperlink r:id="rId33" w:history="1">
        <w:r w:rsidR="008B4CC1" w:rsidRPr="008B4CC1">
          <w:rPr>
            <w:rStyle w:val="Hyperlink"/>
            <w:sz w:val="18"/>
          </w:rPr>
          <w:t>https://supabase.com/docs/guides/api</w:t>
        </w:r>
      </w:hyperlink>
      <w:r>
        <w:rPr>
          <w:sz w:val="18"/>
        </w:rPr>
        <w:t>.</w:t>
      </w:r>
    </w:p>
    <w:p w14:paraId="02AB9B1C" w14:textId="48E948C7" w:rsidR="005F3D39" w:rsidRDefault="00307D00">
      <w:pPr>
        <w:spacing w:after="20"/>
        <w:ind w:left="360" w:hanging="360"/>
      </w:pPr>
      <w:r>
        <w:rPr>
          <w:sz w:val="18"/>
        </w:rPr>
        <w:lastRenderedPageBreak/>
        <w:t>[10]</w:t>
      </w:r>
      <w:hyperlink r:id="rId34" w:history="1">
        <w:r w:rsidRPr="008B4CC1">
          <w:rPr>
            <w:rStyle w:val="Hyperlink"/>
            <w:sz w:val="18"/>
          </w:rPr>
          <w:t xml:space="preserve"> PostgreSQL Global Development Group, "PostgreSQL 16 documentation," 2024.</w:t>
        </w:r>
      </w:hyperlink>
    </w:p>
    <w:p w14:paraId="0C6A2CDC" w14:textId="085717FB" w:rsidR="005F3D39" w:rsidRDefault="00307D00">
      <w:pPr>
        <w:spacing w:after="20"/>
        <w:ind w:left="360" w:hanging="360"/>
      </w:pPr>
      <w:r>
        <w:rPr>
          <w:sz w:val="18"/>
        </w:rPr>
        <w:t xml:space="preserve">[11] S. </w:t>
      </w:r>
      <w:proofErr w:type="spellStart"/>
      <w:r>
        <w:rPr>
          <w:sz w:val="18"/>
        </w:rPr>
        <w:t>Ramírez</w:t>
      </w:r>
      <w:proofErr w:type="spellEnd"/>
      <w:r>
        <w:rPr>
          <w:sz w:val="18"/>
        </w:rPr>
        <w:t>, "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 xml:space="preserve"> documentation," 2024. [Online]. Available: </w:t>
      </w:r>
      <w:hyperlink r:id="rId35" w:history="1">
        <w:r w:rsidR="008B4CC1" w:rsidRPr="008B4CC1">
          <w:rPr>
            <w:rStyle w:val="Hyperlink"/>
            <w:sz w:val="18"/>
          </w:rPr>
          <w:t>https://fastapi.tiangolo.com/</w:t>
        </w:r>
      </w:hyperlink>
      <w:r>
        <w:rPr>
          <w:sz w:val="18"/>
        </w:rPr>
        <w:t>.</w:t>
      </w:r>
    </w:p>
    <w:p w14:paraId="6047A36D" w14:textId="4FAF4F35" w:rsidR="005F3D39" w:rsidRDefault="00307D00">
      <w:pPr>
        <w:spacing w:after="20"/>
        <w:ind w:left="360" w:hanging="360"/>
      </w:pPr>
      <w:r>
        <w:rPr>
          <w:sz w:val="18"/>
        </w:rPr>
        <w:t xml:space="preserve">[12] </w:t>
      </w:r>
      <w:hyperlink r:id="rId36" w:history="1">
        <w:r w:rsidRPr="008B4CC1">
          <w:rPr>
            <w:rStyle w:val="Hyperlink"/>
            <w:sz w:val="18"/>
          </w:rPr>
          <w:t>Python Software Foundation, "</w:t>
        </w:r>
        <w:proofErr w:type="spellStart"/>
        <w:r w:rsidRPr="008B4CC1">
          <w:rPr>
            <w:rStyle w:val="Hyperlink"/>
            <w:sz w:val="18"/>
          </w:rPr>
          <w:t>smtplib</w:t>
        </w:r>
        <w:proofErr w:type="spellEnd"/>
        <w:r w:rsidRPr="008B4CC1">
          <w:rPr>
            <w:rStyle w:val="Hyperlink"/>
            <w:sz w:val="18"/>
          </w:rPr>
          <w:t xml:space="preserve"> — SMTP protocol client," Python 3.12 docs, 2024.</w:t>
        </w:r>
      </w:hyperlink>
    </w:p>
    <w:p w14:paraId="37558393" w14:textId="41D187AE" w:rsidR="005F3D39" w:rsidRDefault="00307D00">
      <w:pPr>
        <w:spacing w:after="20"/>
        <w:ind w:left="360" w:hanging="360"/>
      </w:pPr>
      <w:r>
        <w:rPr>
          <w:sz w:val="18"/>
        </w:rPr>
        <w:t xml:space="preserve">[13] </w:t>
      </w:r>
      <w:hyperlink r:id="rId37" w:history="1">
        <w:r w:rsidRPr="008B4CC1">
          <w:rPr>
            <w:rStyle w:val="Hyperlink"/>
            <w:sz w:val="18"/>
          </w:rPr>
          <w:t>Google, "Gmail SMTP settings (app passwords)," Google Workspace Admin Help, 2024.</w:t>
        </w:r>
      </w:hyperlink>
    </w:p>
    <w:p w14:paraId="66A57A0A" w14:textId="5704D423" w:rsidR="005F3D39" w:rsidRDefault="00307D00">
      <w:pPr>
        <w:spacing w:after="20"/>
        <w:ind w:left="360" w:hanging="360"/>
      </w:pPr>
      <w:r>
        <w:rPr>
          <w:sz w:val="18"/>
        </w:rPr>
        <w:t>[14]</w:t>
      </w:r>
      <w:hyperlink r:id="rId38" w:history="1">
        <w:r w:rsidRPr="008B4CC1">
          <w:rPr>
            <w:rStyle w:val="Hyperlink"/>
            <w:sz w:val="18"/>
          </w:rPr>
          <w:t xml:space="preserve"> Meta Open Source, "React — a JavaScript library for building user interfaces," v18.0, 2024.</w:t>
        </w:r>
      </w:hyperlink>
    </w:p>
    <w:p w14:paraId="7547B117" w14:textId="579DCF9F" w:rsidR="005F3D39" w:rsidRDefault="00307D00">
      <w:pPr>
        <w:spacing w:after="20"/>
        <w:ind w:left="360" w:hanging="360"/>
      </w:pPr>
      <w:r>
        <w:rPr>
          <w:sz w:val="18"/>
        </w:rPr>
        <w:t xml:space="preserve">[15] </w:t>
      </w:r>
      <w:hyperlink r:id="rId39" w:history="1">
        <w:r w:rsidRPr="008B4CC1">
          <w:rPr>
            <w:rStyle w:val="Hyperlink"/>
            <w:sz w:val="18"/>
          </w:rPr>
          <w:t>Microsoft, "</w:t>
        </w:r>
        <w:proofErr w:type="spellStart"/>
        <w:r w:rsidRPr="008B4CC1">
          <w:rPr>
            <w:rStyle w:val="Hyperlink"/>
            <w:sz w:val="18"/>
          </w:rPr>
          <w:t>TypeScript</w:t>
        </w:r>
        <w:proofErr w:type="spellEnd"/>
        <w:r w:rsidRPr="008B4CC1">
          <w:rPr>
            <w:rStyle w:val="Hyperlink"/>
            <w:sz w:val="18"/>
          </w:rPr>
          <w:t xml:space="preserve"> documentation," v5.0, 2024.</w:t>
        </w:r>
      </w:hyperlink>
    </w:p>
    <w:p w14:paraId="5A61A8EE" w14:textId="09A7BA6E" w:rsidR="005F3D39" w:rsidRDefault="00307D00">
      <w:pPr>
        <w:spacing w:after="20"/>
        <w:ind w:left="360" w:hanging="360"/>
      </w:pPr>
      <w:r>
        <w:rPr>
          <w:sz w:val="18"/>
        </w:rPr>
        <w:t xml:space="preserve">[16] </w:t>
      </w:r>
      <w:hyperlink r:id="rId40" w:history="1">
        <w:r w:rsidRPr="008B4CC1">
          <w:rPr>
            <w:rStyle w:val="Hyperlink"/>
            <w:sz w:val="18"/>
          </w:rPr>
          <w:t>Tailwind Labs, "Tailwind CSS documentation," v3.4, 2024.</w:t>
        </w:r>
      </w:hyperlink>
    </w:p>
    <w:p w14:paraId="6F9A89C0" w14:textId="770C7755" w:rsidR="005F3D39" w:rsidRDefault="00307D00">
      <w:pPr>
        <w:spacing w:after="20"/>
        <w:ind w:left="360" w:hanging="360"/>
      </w:pPr>
      <w:r>
        <w:rPr>
          <w:sz w:val="18"/>
        </w:rPr>
        <w:t xml:space="preserve">[17] </w:t>
      </w:r>
      <w:hyperlink r:id="rId41" w:history="1">
        <w:proofErr w:type="spellStart"/>
        <w:r w:rsidRPr="008B4CC1">
          <w:rPr>
            <w:rStyle w:val="Hyperlink"/>
            <w:sz w:val="18"/>
          </w:rPr>
          <w:t>Recharts</w:t>
        </w:r>
        <w:proofErr w:type="spellEnd"/>
        <w:r w:rsidRPr="008B4CC1">
          <w:rPr>
            <w:rStyle w:val="Hyperlink"/>
            <w:sz w:val="18"/>
          </w:rPr>
          <w:t>, "</w:t>
        </w:r>
        <w:proofErr w:type="spellStart"/>
        <w:r w:rsidRPr="008B4CC1">
          <w:rPr>
            <w:rStyle w:val="Hyperlink"/>
            <w:sz w:val="18"/>
          </w:rPr>
          <w:t>Recharts</w:t>
        </w:r>
        <w:proofErr w:type="spellEnd"/>
        <w:r w:rsidRPr="008B4CC1">
          <w:rPr>
            <w:rStyle w:val="Hyperlink"/>
            <w:sz w:val="18"/>
          </w:rPr>
          <w:t xml:space="preserve"> — a </w:t>
        </w:r>
        <w:proofErr w:type="spellStart"/>
        <w:r w:rsidRPr="008B4CC1">
          <w:rPr>
            <w:rStyle w:val="Hyperlink"/>
            <w:sz w:val="18"/>
          </w:rPr>
          <w:t>composable</w:t>
        </w:r>
        <w:proofErr w:type="spellEnd"/>
        <w:r w:rsidRPr="008B4CC1">
          <w:rPr>
            <w:rStyle w:val="Hyperlink"/>
            <w:sz w:val="18"/>
          </w:rPr>
          <w:t xml:space="preserve"> charting library built on React," 2024.</w:t>
        </w:r>
      </w:hyperlink>
    </w:p>
    <w:p w14:paraId="16A37C0B" w14:textId="55E9BA37" w:rsidR="005F3D39" w:rsidRDefault="00307D00">
      <w:pPr>
        <w:spacing w:after="20"/>
        <w:ind w:left="360" w:hanging="360"/>
      </w:pPr>
      <w:r>
        <w:rPr>
          <w:sz w:val="18"/>
        </w:rPr>
        <w:t xml:space="preserve">[18] </w:t>
      </w:r>
      <w:hyperlink r:id="rId42" w:history="1">
        <w:r w:rsidRPr="008B4CC1">
          <w:rPr>
            <w:rStyle w:val="Hyperlink"/>
            <w:sz w:val="18"/>
          </w:rPr>
          <w:t xml:space="preserve">P. </w:t>
        </w:r>
        <w:proofErr w:type="spellStart"/>
        <w:r w:rsidRPr="008B4CC1">
          <w:rPr>
            <w:rStyle w:val="Hyperlink"/>
            <w:sz w:val="18"/>
          </w:rPr>
          <w:t>Provos</w:t>
        </w:r>
        <w:proofErr w:type="spellEnd"/>
        <w:r w:rsidRPr="008B4CC1">
          <w:rPr>
            <w:rStyle w:val="Hyperlink"/>
            <w:sz w:val="18"/>
          </w:rPr>
          <w:t xml:space="preserve"> and D. </w:t>
        </w:r>
        <w:proofErr w:type="spellStart"/>
        <w:r w:rsidRPr="008B4CC1">
          <w:rPr>
            <w:rStyle w:val="Hyperlink"/>
            <w:sz w:val="18"/>
          </w:rPr>
          <w:t>Mazières</w:t>
        </w:r>
        <w:proofErr w:type="spellEnd"/>
        <w:r w:rsidRPr="008B4CC1">
          <w:rPr>
            <w:rStyle w:val="Hyperlink"/>
            <w:sz w:val="18"/>
          </w:rPr>
          <w:t>, "A</w:t>
        </w:r>
        <w:r w:rsidRPr="008B4CC1">
          <w:rPr>
            <w:rStyle w:val="Hyperlink"/>
            <w:sz w:val="18"/>
          </w:rPr>
          <w:t xml:space="preserve"> future-adaptable password scheme," in Proc. USENIX Annual Tech. Conf., Monterey, CA, USA, 1999.</w:t>
        </w:r>
      </w:hyperlink>
    </w:p>
    <w:p w14:paraId="18DA7E0D" w14:textId="66D35FF9" w:rsidR="005F3D39" w:rsidRDefault="00307D00">
      <w:pPr>
        <w:spacing w:after="20"/>
        <w:ind w:left="360" w:hanging="360"/>
      </w:pPr>
      <w:r>
        <w:rPr>
          <w:sz w:val="18"/>
        </w:rPr>
        <w:t xml:space="preserve">[19] </w:t>
      </w:r>
      <w:hyperlink r:id="rId43" w:history="1">
        <w:r w:rsidRPr="008B4CC1">
          <w:rPr>
            <w:rStyle w:val="Hyperlink"/>
            <w:sz w:val="18"/>
          </w:rPr>
          <w:t>NXP Semiconductors, "I²C-bus specification and user manual," UM10204, Rev. 7.0, Oct. 2021.</w:t>
        </w:r>
      </w:hyperlink>
    </w:p>
    <w:p w14:paraId="11227A37" w14:textId="076ED147" w:rsidR="005F3D39" w:rsidRDefault="00307D00">
      <w:pPr>
        <w:spacing w:after="20"/>
        <w:ind w:left="360" w:hanging="360"/>
      </w:pPr>
      <w:r>
        <w:rPr>
          <w:sz w:val="18"/>
        </w:rPr>
        <w:t xml:space="preserve">[20] </w:t>
      </w:r>
      <w:hyperlink r:id="rId44" w:history="1">
        <w:r w:rsidRPr="008B4CC1">
          <w:rPr>
            <w:rStyle w:val="Hyperlink"/>
            <w:sz w:val="18"/>
          </w:rPr>
          <w:t xml:space="preserve">IEEE, "IEEE </w:t>
        </w:r>
        <w:proofErr w:type="spellStart"/>
        <w:proofErr w:type="gramStart"/>
        <w:r w:rsidRPr="008B4CC1">
          <w:rPr>
            <w:rStyle w:val="Hyperlink"/>
            <w:sz w:val="18"/>
          </w:rPr>
          <w:t>Std</w:t>
        </w:r>
        <w:proofErr w:type="spellEnd"/>
        <w:proofErr w:type="gramEnd"/>
        <w:r w:rsidRPr="008B4CC1">
          <w:rPr>
            <w:rStyle w:val="Hyperlink"/>
            <w:sz w:val="18"/>
          </w:rPr>
          <w:t xml:space="preserve"> 802.11-2020 — wireless LAN MAC</w:t>
        </w:r>
        <w:r w:rsidRPr="008B4CC1">
          <w:rPr>
            <w:rStyle w:val="Hyperlink"/>
            <w:sz w:val="18"/>
          </w:rPr>
          <w:t xml:space="preserve"> and PHY specifications," IEEE, 2021.</w:t>
        </w:r>
      </w:hyperlink>
    </w:p>
    <w:p w14:paraId="72B73A03" w14:textId="3E0AB00C" w:rsidR="005F3D39" w:rsidRDefault="00307D00">
      <w:pPr>
        <w:spacing w:after="20"/>
        <w:ind w:left="360" w:hanging="360"/>
      </w:pPr>
      <w:r>
        <w:rPr>
          <w:sz w:val="18"/>
        </w:rPr>
        <w:t xml:space="preserve">[21] </w:t>
      </w:r>
      <w:hyperlink r:id="rId45" w:history="1">
        <w:r w:rsidRPr="008B4CC1">
          <w:rPr>
            <w:rStyle w:val="Hyperlink"/>
            <w:sz w:val="18"/>
          </w:rPr>
          <w:t>IETF, "The Transport Layer Security (TLS) protocol version 1.3," RFC 8446, Aug. 2018.</w:t>
        </w:r>
      </w:hyperlink>
    </w:p>
    <w:p w14:paraId="7A398178" w14:textId="714C7EE8" w:rsidR="005F3D39" w:rsidRDefault="00307D00">
      <w:pPr>
        <w:spacing w:after="20"/>
        <w:ind w:left="360" w:hanging="360"/>
      </w:pPr>
      <w:r>
        <w:rPr>
          <w:sz w:val="18"/>
        </w:rPr>
        <w:t xml:space="preserve">[22] </w:t>
      </w:r>
      <w:hyperlink r:id="rId46" w:history="1">
        <w:r w:rsidRPr="008B4CC1">
          <w:rPr>
            <w:rStyle w:val="Hyperlink"/>
            <w:sz w:val="18"/>
          </w:rPr>
          <w:t>M. Carey et al., "Tenacity — retrying library for Python," 2024.</w:t>
        </w:r>
      </w:hyperlink>
    </w:p>
    <w:p w14:paraId="0B28C684" w14:textId="72065750" w:rsidR="005F3D39" w:rsidRDefault="00307D00">
      <w:pPr>
        <w:spacing w:after="20"/>
        <w:ind w:left="360" w:hanging="360"/>
      </w:pPr>
      <w:r>
        <w:rPr>
          <w:sz w:val="18"/>
        </w:rPr>
        <w:t xml:space="preserve">[23] </w:t>
      </w:r>
      <w:hyperlink r:id="rId47" w:history="1">
        <w:r w:rsidRPr="008B4CC1">
          <w:rPr>
            <w:rStyle w:val="Hyperlink"/>
            <w:sz w:val="18"/>
          </w:rPr>
          <w:t xml:space="preserve">IEEE, "IEEE </w:t>
        </w:r>
        <w:proofErr w:type="spellStart"/>
        <w:proofErr w:type="gramStart"/>
        <w:r w:rsidRPr="008B4CC1">
          <w:rPr>
            <w:rStyle w:val="Hyperlink"/>
            <w:sz w:val="18"/>
          </w:rPr>
          <w:t>Std</w:t>
        </w:r>
        <w:proofErr w:type="spellEnd"/>
        <w:proofErr w:type="gramEnd"/>
        <w:r w:rsidRPr="008B4CC1">
          <w:rPr>
            <w:rStyle w:val="Hyperlink"/>
            <w:sz w:val="18"/>
          </w:rPr>
          <w:t xml:space="preserve"> 830-1998 — </w:t>
        </w:r>
        <w:r w:rsidRPr="008B4CC1">
          <w:rPr>
            <w:rStyle w:val="Hyperlink"/>
            <w:sz w:val="18"/>
          </w:rPr>
          <w:t>recommended practice for software requirements specifications," IEEE, 1998.</w:t>
        </w:r>
      </w:hyperlink>
    </w:p>
    <w:p w14:paraId="36547B6A" w14:textId="2F1F672A" w:rsidR="005F3D39" w:rsidRDefault="00307D00">
      <w:pPr>
        <w:spacing w:after="20"/>
        <w:ind w:left="360" w:hanging="360"/>
      </w:pPr>
      <w:r>
        <w:rPr>
          <w:sz w:val="18"/>
        </w:rPr>
        <w:t xml:space="preserve">[24] </w:t>
      </w:r>
      <w:hyperlink r:id="rId48" w:history="1">
        <w:r w:rsidRPr="008B4CC1">
          <w:rPr>
            <w:rStyle w:val="Hyperlink"/>
            <w:sz w:val="18"/>
          </w:rPr>
          <w:t xml:space="preserve">G. </w:t>
        </w:r>
        <w:proofErr w:type="spellStart"/>
        <w:r w:rsidRPr="008B4CC1">
          <w:rPr>
            <w:rStyle w:val="Hyperlink"/>
            <w:sz w:val="18"/>
          </w:rPr>
          <w:t>Booch</w:t>
        </w:r>
        <w:proofErr w:type="spellEnd"/>
        <w:r w:rsidRPr="008B4CC1">
          <w:rPr>
            <w:rStyle w:val="Hyperlink"/>
            <w:sz w:val="18"/>
          </w:rPr>
          <w:t xml:space="preserve">, J. </w:t>
        </w:r>
        <w:r w:rsidRPr="008B4CC1">
          <w:rPr>
            <w:rStyle w:val="Hyperlink"/>
            <w:sz w:val="18"/>
          </w:rPr>
          <w:t xml:space="preserve">Rumbaugh, and I. Jacobson, </w:t>
        </w:r>
        <w:proofErr w:type="gramStart"/>
        <w:r w:rsidRPr="008B4CC1">
          <w:rPr>
            <w:rStyle w:val="Hyperlink"/>
            <w:sz w:val="18"/>
          </w:rPr>
          <w:t>The</w:t>
        </w:r>
        <w:proofErr w:type="gramEnd"/>
        <w:r w:rsidRPr="008B4CC1">
          <w:rPr>
            <w:rStyle w:val="Hyperlink"/>
            <w:sz w:val="18"/>
          </w:rPr>
          <w:t xml:space="preserve"> Unified Modeling Language User Guide, 2nd ed., Boston, MA: Addison-Wesley, 2005.</w:t>
        </w:r>
      </w:hyperlink>
    </w:p>
    <w:sectPr w:rsidR="005F3D39" w:rsidSect="00034616">
      <w:type w:val="continuous"/>
      <w:pgSz w:w="11906" w:h="16838"/>
      <w:pgMar w:top="1077" w:right="850" w:bottom="1417" w:left="850" w:header="720" w:footer="720" w:gutter="0"/>
      <w:cols w:num="2" w:space="4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BDA"/>
    <w:rsid w:val="00034616"/>
    <w:rsid w:val="0006063C"/>
    <w:rsid w:val="0015074B"/>
    <w:rsid w:val="0029639D"/>
    <w:rsid w:val="00307D00"/>
    <w:rsid w:val="00326F90"/>
    <w:rsid w:val="003473B0"/>
    <w:rsid w:val="003637A5"/>
    <w:rsid w:val="004135BE"/>
    <w:rsid w:val="005F3D39"/>
    <w:rsid w:val="007C4FCC"/>
    <w:rsid w:val="008B4CC1"/>
    <w:rsid w:val="00914B48"/>
    <w:rsid w:val="00AA1D8D"/>
    <w:rsid w:val="00B47730"/>
    <w:rsid w:val="00C1102E"/>
    <w:rsid w:val="00CB0664"/>
    <w:rsid w:val="00CB2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51E09"/>
  <w14:defaultImageDpi w14:val="300"/>
  <w15:docId w15:val="{6FC318F5-4A8A-4A6D-B114-3EC80080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BDA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37A5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B4CC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4C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C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www.researchgate.net/publication/290010399_Cooling_Systems_in_Data_Centers_State_of_Art_and_Emerging_Technologies" TargetMode="External"/><Relationship Id="rId39" Type="http://schemas.openxmlformats.org/officeDocument/2006/relationships/hyperlink" Target="https://www.typescriptlang.org/docs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science-technology.uz/index.php/journal/article/view/377" TargetMode="External"/><Relationship Id="rId42" Type="http://schemas.openxmlformats.org/officeDocument/2006/relationships/hyperlink" Target="https://www.usenix.org/conference/1999-usenix-annual-technical-conference/future-adaptable-password-scheme" TargetMode="External"/><Relationship Id="rId47" Type="http://schemas.openxmlformats.org/officeDocument/2006/relationships/hyperlink" Target="https://www.studocu.com/row/document/addis-ababa-university/human-resource-management/ieeexplore-srs-template/11942818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researchgate.net/publication/290010399_Cooling_Systems_in_Data_Centers_State_of_Art_and_Emerging_Technologi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9" Type="http://schemas.openxmlformats.org/officeDocument/2006/relationships/hyperlink" Target="https://lastminuteengineers.com/" TargetMode="External"/><Relationship Id="rId11" Type="http://schemas.openxmlformats.org/officeDocument/2006/relationships/hyperlink" Target="https://wokwi.com/esp32" TargetMode="External"/><Relationship Id="rId24" Type="http://schemas.openxmlformats.org/officeDocument/2006/relationships/image" Target="media/image13.jpg"/><Relationship Id="rId32" Type="http://schemas.openxmlformats.org/officeDocument/2006/relationships/hyperlink" Target="https://github.com/adafruit" TargetMode="External"/><Relationship Id="rId37" Type="http://schemas.openxmlformats.org/officeDocument/2006/relationships/hyperlink" Target="https://prospeo.io/s/setup-smtp-gmail" TargetMode="External"/><Relationship Id="rId40" Type="http://schemas.openxmlformats.org/officeDocument/2006/relationships/hyperlink" Target="https://v3.tailwindcss.com/careers/design-engineer" TargetMode="External"/><Relationship Id="rId45" Type="http://schemas.openxmlformats.org/officeDocument/2006/relationships/hyperlink" Target="https://datatracker.ietf.org/doc/html/rfc844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www.arduinolibraries.info/authors/xreef" TargetMode="External"/><Relationship Id="rId36" Type="http://schemas.openxmlformats.org/officeDocument/2006/relationships/hyperlink" Target="https://docs.python.org/3/library/smtplib.html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lastminuteengineers.com/" TargetMode="External"/><Relationship Id="rId19" Type="http://schemas.openxmlformats.org/officeDocument/2006/relationships/image" Target="media/image8.jpg"/><Relationship Id="rId31" Type="http://schemas.openxmlformats.org/officeDocument/2006/relationships/hyperlink" Target="https://www.scribd.com/document/887594032/Esp32-Wroom-32-Datasheet-en-6" TargetMode="External"/><Relationship Id="rId44" Type="http://schemas.openxmlformats.org/officeDocument/2006/relationships/hyperlink" Target="https://bpb-us-e1.wpmucdn.com/websites.uta.edu/dist/f/4732/files/2025/12/F25_ROMAP_SR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rduinolibraries.info/authors/xreef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hyperlink" Target="https://randomnerdtutorials.com/complete-guide-for-dht11dht22-humidity-and-temperature-sensor-with-arduino/" TargetMode="External"/><Relationship Id="rId30" Type="http://schemas.openxmlformats.org/officeDocument/2006/relationships/hyperlink" Target="https://wokwi.com/esp32" TargetMode="External"/><Relationship Id="rId35" Type="http://schemas.openxmlformats.org/officeDocument/2006/relationships/hyperlink" Target="https://fastapi.tiangolo.com/" TargetMode="External"/><Relationship Id="rId43" Type="http://schemas.openxmlformats.org/officeDocument/2006/relationships/hyperlink" Target="https://www.researchgate.net/publication/396793022_A_Comparative_Review_of_Peripheral_Interfaces_and_Communication_Protocols_in_Embedded_Systems" TargetMode="External"/><Relationship Id="rId48" Type="http://schemas.openxmlformats.org/officeDocument/2006/relationships/hyperlink" Target="https://www.researchgate.net/publication/234785986_Unified_Modeling_Language_User_Guide_The_2nd_Edition_Addison-Wesley_Object_Technology_Series" TargetMode="External"/><Relationship Id="rId8" Type="http://schemas.openxmlformats.org/officeDocument/2006/relationships/hyperlink" Target="https://randomnerdtutorials.com/complete-guide-for-dht11dht22-humidity-and-temperature-sensor-with-arduino/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g"/><Relationship Id="rId25" Type="http://schemas.openxmlformats.org/officeDocument/2006/relationships/hyperlink" Target="https://www.ashrae.org/file%20library/technical%20resources/bookstore/supplemental%20files/therm-gdlns-5th-r-e-refcard.pdf" TargetMode="External"/><Relationship Id="rId33" Type="http://schemas.openxmlformats.org/officeDocument/2006/relationships/hyperlink" Target="https://supabase.com/docs/guides/api" TargetMode="External"/><Relationship Id="rId38" Type="http://schemas.openxmlformats.org/officeDocument/2006/relationships/hyperlink" Target="https://legacy.reactjs.org/" TargetMode="External"/><Relationship Id="rId46" Type="http://schemas.openxmlformats.org/officeDocument/2006/relationships/hyperlink" Target="https://www.sciencedirect.com/science/article/pii/S2666827025000982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www.ijraset.com/best-journal/farmers-connec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shrae.org/file%20library/technical%20resources/bookstore/supplemental%20files/therm-gdlns-5th-r-e-refcar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1BD26F-10F7-455B-AB95-6DD8C092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2529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2026-05-19T17:46:00Z</dcterms:created>
  <dcterms:modified xsi:type="dcterms:W3CDTF">2026-05-19T17:46:00Z</dcterms:modified>
  <cp:category/>
</cp:coreProperties>
</file>