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51c5860ef47946dc8964f58c7821666985e1399"/>
    <w:p>
      <w:pPr>
        <w:pStyle w:val="Heading1"/>
      </w:pPr>
      <w:r>
        <w:t xml:space="preserve">AI Gateway &amp; AI Governance for Cloudera AI (CAI) On-Prem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Solution architects positioning Cloudera AI for an on-prem customer who has purchased CAI instances and needs an AI gateway and AI governance story.</w:t>
      </w:r>
    </w:p>
    <w:p>
      <w:pPr>
        <w:pStyle w:val="BodyText"/>
      </w:pPr>
      <w:r>
        <w:rPr>
          <w:b/>
          <w:bCs/>
        </w:rPr>
        <w:t xml:space="preserve">Guiding principle:</w:t>
      </w:r>
      <w:r>
        <w:t xml:space="preserve"> </w:t>
      </w:r>
      <w:r>
        <w:rPr>
          <w:b/>
          <w:bCs/>
        </w:rPr>
        <w:t xml:space="preserve">Keep the customer inside CAI.</w:t>
      </w:r>
      <w:r>
        <w:t xml:space="preserve"> </w:t>
      </w:r>
      <w:r>
        <w:t xml:space="preserve">Every plane below is hosted on Cloudera AI primitives — no external gateway, no third-party SaaS, no data leaving the cluster.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Field guidance based on current CAI capabilities (mid-2026). Reassess as CAI Inference Service Application serving reaches on-prem GA.</w:t>
      </w:r>
    </w:p>
    <w:p>
      <w:r>
        <w:pict>
          <v:rect style="width:0;height:1.5pt" o:hralign="center" o:hrstd="t" o:hr="t"/>
        </w:pict>
      </w:r>
    </w:p>
    <w:bookmarkStart w:id="14" w:name="X7df61e16f02bf30365079e3d8a8591e88008f90"/>
    <w:p>
      <w:pPr>
        <w:pStyle w:val="Heading2"/>
      </w:pPr>
      <w:r>
        <w:t xml:space="preserve">1. The Current Picture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State on-prem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 Inference Service</w:t>
            </w:r>
          </w:p>
        </w:tc>
        <w:tc>
          <w:tcPr/>
          <w:p>
            <w:pPr>
              <w:pStyle w:val="Compact"/>
            </w:pPr>
            <w:r>
              <w:t xml:space="preserve">✅ GA</w:t>
            </w:r>
          </w:p>
        </w:tc>
        <w:tc>
          <w:tcPr/>
          <w:p>
            <w:pPr>
              <w:pStyle w:val="Compact"/>
            </w:pPr>
            <w:r>
              <w:t xml:space="preserve">Production-grade model serving via NVIDIA NIM + Triton on KServe. Exposes the</w:t>
            </w:r>
            <w:r>
              <w:t xml:space="preserve"> </w:t>
            </w:r>
            <w:r>
              <w:rPr>
                <w:b/>
                <w:bCs/>
              </w:rPr>
              <w:t xml:space="preserve">OpenAI API</w:t>
            </w:r>
            <w:r>
              <w:t xml:space="preserve"> </w:t>
            </w:r>
            <w:r>
              <w:t xml:space="preserve">for generative models and</w:t>
            </w:r>
            <w:r>
              <w:t xml:space="preserve"> </w:t>
            </w:r>
            <w:r>
              <w:rPr>
                <w:b/>
                <w:bCs/>
              </w:rPr>
              <w:t xml:space="preserve">Open Inference Protocol</w:t>
            </w:r>
            <w:r>
              <w:t xml:space="preserve"> </w:t>
            </w:r>
            <w:r>
              <w:t xml:space="preserve">for predictive models. Has</w:t>
            </w:r>
            <w:r>
              <w:t xml:space="preserve"> </w:t>
            </w:r>
            <w:r>
              <w:rPr>
                <w:b/>
                <w:bCs/>
              </w:rPr>
              <w:t xml:space="preserve">built-in monitoring and metrics</w:t>
            </w:r>
            <w:r>
              <w:t xml:space="preserve">, and integrates with</w:t>
            </w:r>
            <w:r>
              <w:t xml:space="preserve"> </w:t>
            </w:r>
            <w:r>
              <w:rPr>
                <w:b/>
                <w:bCs/>
              </w:rPr>
              <w:t xml:space="preserve">Cloudera AI Registry</w:t>
            </w:r>
            <w:r>
              <w:t xml:space="preserve"> </w:t>
            </w:r>
            <w:r>
              <w:t xml:space="preserve">(Atlas-backed). (</w:t>
            </w:r>
            <w:hyperlink r:id="rId9">
              <w:r>
                <w:rPr>
                  <w:rStyle w:val="Hyperlink"/>
                </w:rPr>
                <w:t xml:space="preserve">CAI Inference Overview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 Workbench Applications</w:t>
            </w:r>
          </w:p>
        </w:tc>
        <w:tc>
          <w:tcPr/>
          <w:p>
            <w:pPr>
              <w:pStyle w:val="Compact"/>
            </w:pPr>
            <w:r>
              <w:t xml:space="preserve">✅ GA</w:t>
            </w:r>
          </w:p>
        </w:tc>
        <w:tc>
          <w:tcPr/>
          <w:p>
            <w:pPr>
              <w:pStyle w:val="Compact"/>
            </w:pPr>
            <w:r>
              <w:t xml:space="preserve">Flexible long-running web apps, but the entry point must be a</w:t>
            </w:r>
            <w:r>
              <w:t xml:space="preserve"> </w:t>
            </w:r>
            <w:r>
              <w:rPr>
                <w:b/>
                <w:bCs/>
              </w:rPr>
              <w:t xml:space="preserve">Python script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CDSW_APP_PORT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CDSW_READONLY_PORT</w:t>
            </w:r>
            <w:r>
              <w:t xml:space="preserve">. App engines do not autoscale/scale-to-zero like inference endpoints. (</w:t>
            </w:r>
            <w:hyperlink r:id="rId10">
              <w:r>
                <w:rPr>
                  <w:rStyle w:val="Hyperlink"/>
                </w:rPr>
                <w:t xml:space="preserve">Analytical Applications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 Inference Service Applications</w:t>
            </w:r>
          </w:p>
        </w:tc>
        <w:tc>
          <w:tcPr/>
          <w:p>
            <w:pPr>
              <w:pStyle w:val="Compact"/>
            </w:pPr>
            <w:r>
              <w:t xml:space="preserve">☁️ Cloud only</w:t>
            </w:r>
          </w:p>
        </w:tc>
        <w:tc>
          <w:tcPr/>
          <w:p>
            <w:pPr>
              <w:pStyle w:val="Compact"/>
            </w:pPr>
            <w:r>
              <w:t xml:space="preserve">Custom Docker images, MCP clients/servers, autoscaling, scale-to-zero —</w:t>
            </w:r>
            <w:r>
              <w:t xml:space="preserve"> </w:t>
            </w:r>
            <w:r>
              <w:rPr>
                <w:b/>
                <w:bCs/>
              </w:rPr>
              <w:t xml:space="preserve">not yet on-prem</w:t>
            </w:r>
            <w:r>
              <w:t xml:space="preserve">. (</w:t>
            </w:r>
            <w:hyperlink r:id="rId11">
              <w:r>
                <w:rPr>
                  <w:rStyle w:val="Hyperlink"/>
                </w:rPr>
                <w:t xml:space="preserve">CAII Application Serving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Gateway &amp; AI Governance</w:t>
            </w:r>
          </w:p>
        </w:tc>
        <w:tc>
          <w:tcPr/>
          <w:p>
            <w:pPr>
              <w:pStyle w:val="Compact"/>
            </w:pPr>
            <w:r>
              <w:t xml:space="preserve">❌ No out-of-box component</w:t>
            </w:r>
          </w:p>
        </w:tc>
        <w:tc>
          <w:tcPr/>
          <w:p>
            <w:pPr>
              <w:pStyle w:val="Compact"/>
            </w:pPr>
            <w:r>
              <w:t xml:space="preserve">CAI does not yet ship a dedicated AI gateway or centralised AI governance plane — we assemble both</w:t>
            </w:r>
            <w:r>
              <w:t xml:space="preserve"> </w:t>
            </w:r>
            <w:r>
              <w:rPr>
                <w:b/>
                <w:bCs/>
              </w:rPr>
              <w:t xml:space="preserve">on CAI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Agent Studio</w:t>
      </w:r>
      <w:r>
        <w:t xml:space="preserve"> </w:t>
      </w:r>
      <w:r>
        <w:t xml:space="preserve">(and RAG / Fine-Tuning / Synthetic Data Studios) run</w:t>
      </w:r>
      <w:r>
        <w:t xml:space="preserve"> </w:t>
      </w:r>
      <w:r>
        <w:rPr>
          <w:b/>
          <w:bCs/>
        </w:rPr>
        <w:t xml:space="preserve">inside the CAI Workbench</w:t>
      </w:r>
      <w:r>
        <w:t xml:space="preserve"> </w:t>
      </w:r>
      <w:r>
        <w:t xml:space="preserve">as AI Studios (Technical Preview). (</w:t>
      </w:r>
      <w:hyperlink r:id="rId12">
        <w:r>
          <w:rPr>
            <w:rStyle w:val="Hyperlink"/>
          </w:rPr>
          <w:t xml:space="preserve">AI Studios Overview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Provisioning Workbenches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Start w:id="17" w:name="X33dfbc5ff805935304ecefa016ede366d06b5f5"/>
    <w:p>
      <w:pPr>
        <w:pStyle w:val="Heading2"/>
      </w:pPr>
      <w:r>
        <w:t xml:space="preserve">2. What "AI Gateway" and "AI Governance" Mean Here</w:t>
      </w:r>
    </w:p>
    <w:bookmarkStart w:id="15" w:name="ai-gateway-the-traffic-plane"/>
    <w:p>
      <w:pPr>
        <w:pStyle w:val="Heading3"/>
      </w:pPr>
      <w:r>
        <w:t xml:space="preserve">AI Gateway (the</w:t>
      </w:r>
      <w:r>
        <w:t xml:space="preserve"> </w:t>
      </w:r>
      <w:r>
        <w:rPr>
          <w:i/>
          <w:iCs/>
        </w:rPr>
        <w:t xml:space="preserve">traffic</w:t>
      </w:r>
      <w:r>
        <w:t xml:space="preserve"> </w:t>
      </w:r>
      <w:r>
        <w:t xml:space="preserve">plane)</w:t>
      </w:r>
    </w:p>
    <w:p>
      <w:pPr>
        <w:pStyle w:val="FirstParagraph"/>
      </w:pPr>
      <w:r>
        <w:t xml:space="preserve">A reverse proxy between applications/agents and model endpoints:</w:t>
      </w:r>
    </w:p>
    <w:p>
      <w:pPr>
        <w:pStyle w:val="Compact"/>
        <w:numPr>
          <w:ilvl w:val="0"/>
          <w:numId w:val="1001"/>
        </w:numPr>
      </w:pPr>
      <w:r>
        <w:t xml:space="preserve">Unified OpenAI-compatible API across many models</w:t>
      </w:r>
    </w:p>
    <w:p>
      <w:pPr>
        <w:pStyle w:val="Compact"/>
        <w:numPr>
          <w:ilvl w:val="0"/>
          <w:numId w:val="1001"/>
        </w:numPr>
      </w:pPr>
      <w:r>
        <w:t xml:space="preserve">Routing, load balancing, fallback, retries</w:t>
      </w:r>
    </w:p>
    <w:p>
      <w:pPr>
        <w:pStyle w:val="Compact"/>
        <w:numPr>
          <w:ilvl w:val="0"/>
          <w:numId w:val="1001"/>
        </w:numPr>
      </w:pPr>
      <w:r>
        <w:t xml:space="preserve">Rate limiting and quota enforcement per team/key</w:t>
      </w:r>
    </w:p>
    <w:p>
      <w:pPr>
        <w:pStyle w:val="Compact"/>
        <w:numPr>
          <w:ilvl w:val="0"/>
          <w:numId w:val="1001"/>
        </w:numPr>
      </w:pPr>
      <w:r>
        <w:t xml:space="preserve">API key / token issuance and rotation</w:t>
      </w:r>
    </w:p>
    <w:p>
      <w:pPr>
        <w:pStyle w:val="Compact"/>
        <w:numPr>
          <w:ilvl w:val="0"/>
          <w:numId w:val="1001"/>
        </w:numPr>
      </w:pPr>
      <w:r>
        <w:t xml:space="preserve">Semantic + exact-match response caching</w:t>
      </w:r>
    </w:p>
    <w:p>
      <w:pPr>
        <w:pStyle w:val="Compact"/>
        <w:numPr>
          <w:ilvl w:val="0"/>
          <w:numId w:val="1001"/>
        </w:numPr>
      </w:pPr>
      <w:r>
        <w:t xml:space="preserve">Cost and token accounting</w:t>
      </w:r>
    </w:p>
    <w:p>
      <w:pPr>
        <w:pStyle w:val="Compact"/>
        <w:numPr>
          <w:ilvl w:val="0"/>
          <w:numId w:val="1001"/>
        </w:numPr>
      </w:pPr>
      <w:r>
        <w:t xml:space="preserve">Request/response logging and tracing</w:t>
      </w:r>
    </w:p>
    <w:bookmarkEnd w:id="15"/>
    <w:bookmarkStart w:id="16" w:name="ai-governance-the-control-plane"/>
    <w:p>
      <w:pPr>
        <w:pStyle w:val="Heading3"/>
      </w:pPr>
      <w:r>
        <w:t xml:space="preserve">AI Governance (the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plane)</w:t>
      </w:r>
    </w:p>
    <w:p>
      <w:pPr>
        <w:pStyle w:val="FirstParagraph"/>
      </w:pPr>
      <w:r>
        <w:t xml:space="preserve">Policy, safety, and auditability over what flows through the gateway:</w:t>
      </w:r>
    </w:p>
    <w:p>
      <w:pPr>
        <w:pStyle w:val="Compact"/>
        <w:numPr>
          <w:ilvl w:val="0"/>
          <w:numId w:val="1002"/>
        </w:numPr>
      </w:pPr>
      <w:r>
        <w:t xml:space="preserve">Input safety — prompt-injection / jailbreak / data-exfiltration defence</w:t>
      </w:r>
    </w:p>
    <w:p>
      <w:pPr>
        <w:pStyle w:val="Compact"/>
        <w:numPr>
          <w:ilvl w:val="0"/>
          <w:numId w:val="1002"/>
        </w:numPr>
      </w:pPr>
      <w:r>
        <w:t xml:space="preserve">Output safety — content moderation, PII/secret redaction</w:t>
      </w:r>
    </w:p>
    <w:p>
      <w:pPr>
        <w:pStyle w:val="Compact"/>
        <w:numPr>
          <w:ilvl w:val="0"/>
          <w:numId w:val="1002"/>
        </w:numPr>
      </w:pPr>
      <w:r>
        <w:t xml:space="preserve">Prompt &amp; completion audit trail for compliance</w:t>
      </w:r>
    </w:p>
    <w:p>
      <w:pPr>
        <w:pStyle w:val="Compact"/>
        <w:numPr>
          <w:ilvl w:val="0"/>
          <w:numId w:val="1002"/>
        </w:numPr>
      </w:pPr>
      <w:r>
        <w:t xml:space="preserve">Model lineage, versioning, and access control</w:t>
      </w:r>
    </w:p>
    <w:p>
      <w:pPr>
        <w:pStyle w:val="Compact"/>
        <w:numPr>
          <w:ilvl w:val="0"/>
          <w:numId w:val="1002"/>
        </w:numPr>
      </w:pPr>
      <w:r>
        <w:t xml:space="preserve">Drift / quality monitoring</w:t>
      </w:r>
    </w:p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CAI already gives you the two hardest pieces — a</w:t>
      </w:r>
      <w:r>
        <w:t xml:space="preserve"> </w:t>
      </w:r>
      <w:r>
        <w:rPr>
          <w:b/>
          <w:bCs/>
        </w:rPr>
        <w:t xml:space="preserve">production model-serving plane with metrics</w:t>
      </w:r>
      <w:r>
        <w:t xml:space="preserve"> </w:t>
      </w:r>
      <w:r>
        <w:t xml:space="preserve">(Inference Service) and a</w:t>
      </w:r>
      <w:r>
        <w:t xml:space="preserve"> </w:t>
      </w:r>
      <w:r>
        <w:rPr>
          <w:b/>
          <w:bCs/>
        </w:rPr>
        <w:t xml:space="preserve">lineage/registry backbone</w:t>
      </w:r>
      <w:r>
        <w:t xml:space="preserve"> </w:t>
      </w:r>
      <w:r>
        <w:t xml:space="preserve">(AI Registry + Atlas). The missing</w:t>
      </w:r>
      <w:r>
        <w:t xml:space="preserve"> </w:t>
      </w:r>
      <w:r>
        <w:rPr>
          <w:b/>
          <w:bCs/>
        </w:rPr>
        <w:t xml:space="preserve">gateway proxy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central guardrail</w:t>
      </w:r>
      <w:r>
        <w:t xml:space="preserve"> </w:t>
      </w:r>
      <w:r>
        <w:t xml:space="preserve">are added on top,</w:t>
      </w:r>
      <w:r>
        <w:t xml:space="preserve"> </w:t>
      </w:r>
      <w:r>
        <w:rPr>
          <w:b/>
          <w:bCs/>
        </w:rPr>
        <w:t xml:space="preserve">entirely within CAI</w:t>
      </w:r>
      <w:r>
        <w:t xml:space="preserve">. This document presents two deployment tiers: a</w:t>
      </w:r>
      <w:r>
        <w:t xml:space="preserve"> </w:t>
      </w:r>
      <w:r>
        <w:rPr>
          <w:b/>
          <w:bCs/>
        </w:rPr>
        <w:t xml:space="preserve">common approach</w:t>
      </w:r>
      <w:r>
        <w:t xml:space="preserve"> </w:t>
      </w:r>
      <w:r>
        <w:t xml:space="preserve">that any partner can stand up today using CAI Workbench Applications, and an</w:t>
      </w:r>
      <w:r>
        <w:t xml:space="preserve"> </w:t>
      </w:r>
      <w:r>
        <w:rPr>
          <w:b/>
          <w:bCs/>
        </w:rPr>
        <w:t xml:space="preserve">advanced approach</w:t>
      </w:r>
      <w:r>
        <w:t xml:space="preserve"> </w:t>
      </w:r>
      <w:r>
        <w:t xml:space="preserve">built on</w:t>
      </w:r>
      <w:r>
        <w:t xml:space="preserve"> </w:t>
      </w:r>
      <w:r>
        <w:rPr>
          <w:rStyle w:val="VerbatimChar"/>
        </w:rPr>
        <w:t xml:space="preserve">ray-serve-cai</w:t>
      </w:r>
      <w:r>
        <w:t xml:space="preserve"> </w:t>
      </w:r>
      <w:r>
        <w:t xml:space="preserve">(a Cloudera Professional Services capability, currently in progress).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X0a5f5774308d8f7f5100c1d50dd9b50a71a43e1"/>
    <w:p>
      <w:pPr>
        <w:pStyle w:val="Heading2"/>
      </w:pPr>
      <w:r>
        <w:t xml:space="preserve">3. Recommended On-Prem Architecture — A Progressive Path (All on CAI)</w:t>
      </w:r>
    </w:p>
    <w:p>
      <w:pPr>
        <w:pStyle w:val="FirstParagraph"/>
      </w:pPr>
      <w:r>
        <w:t xml:space="preserve">Both tiers solve the same three planes —</w:t>
      </w:r>
      <w:r>
        <w:t xml:space="preserve"> </w:t>
      </w:r>
      <w:r>
        <w:rPr>
          <w:b/>
          <w:bCs/>
        </w:rPr>
        <w:t xml:space="preserve">Plane A: AI Gateway</w:t>
      </w:r>
      <w:r>
        <w:t xml:space="preserve">,</w:t>
      </w:r>
      <w:r>
        <w:t xml:space="preserve"> </w:t>
      </w:r>
      <w:r>
        <w:rPr>
          <w:b/>
          <w:bCs/>
        </w:rPr>
        <w:t xml:space="preserve">Plane B: Central Guardrail</w:t>
      </w:r>
      <w:r>
        <w:t xml:space="preserve">,</w:t>
      </w:r>
      <w:r>
        <w:t xml:space="preserve"> </w:t>
      </w:r>
      <w:r>
        <w:rPr>
          <w:b/>
          <w:bCs/>
        </w:rPr>
        <w:t xml:space="preserve">Plane C: Audit &amp; Lineage</w:t>
      </w:r>
      <w:r>
        <w:t xml:space="preserve"> </w:t>
      </w:r>
      <w:r>
        <w:t xml:space="preserve">— and both keep everything inside CAI. They differ only in</w:t>
      </w:r>
      <w:r>
        <w:t xml:space="preserve"> </w:t>
      </w:r>
      <w:r>
        <w:rPr>
          <w:i/>
          <w:iCs/>
        </w:rPr>
        <w:t xml:space="preserve">how the gateway and guardrail are hosted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Hosting substrate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(baseline)</w:t>
            </w:r>
          </w:p>
        </w:tc>
        <w:tc>
          <w:tcPr/>
          <w:p>
            <w:pPr>
              <w:pStyle w:val="Compact"/>
            </w:pPr>
            <w:r>
              <w:t xml:space="preserve">Stand-alone</w:t>
            </w:r>
            <w:r>
              <w:t xml:space="preserve"> </w:t>
            </w:r>
            <w:r>
              <w:rPr>
                <w:b/>
                <w:bCs/>
              </w:rPr>
              <w:t xml:space="preserve">CAI Workbench Applications</w:t>
            </w:r>
            <w:r>
              <w:t xml:space="preserve"> </w:t>
            </w:r>
            <w:r>
              <w:t xml:space="preserve">(Python entry on</w:t>
            </w:r>
            <w:r>
              <w:t xml:space="preserve"> </w:t>
            </w:r>
            <w:r>
              <w:rPr>
                <w:rStyle w:val="VerbatimChar"/>
              </w:rPr>
              <w:t xml:space="preserve">CDSW_APP_PORT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 today</w:t>
            </w:r>
            <w:r>
              <w:t xml:space="preserve"> </w:t>
            </w:r>
            <w:r>
              <w:t xml:space="preserve">— any partner/SI can build it</w:t>
            </w:r>
          </w:p>
        </w:tc>
        <w:tc>
          <w:tcPr/>
          <w:p>
            <w:pPr>
              <w:pStyle w:val="Compact"/>
            </w:pPr>
            <w:r>
              <w:t xml:space="preserve">Getting to a working, fully-on-CAI gateway + governance quickly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ray-serve-cai</w:t>
            </w:r>
            <w:r>
              <w:t xml:space="preserve"> </w:t>
            </w:r>
            <w:r>
              <w:t xml:space="preserve">microservices (Ray Serve on CML Applications)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Cloudera Professional Services — in progress</w:t>
            </w:r>
          </w:p>
        </w:tc>
        <w:tc>
          <w:tcPr/>
          <w:p>
            <w:pPr>
              <w:pStyle w:val="Compact"/>
            </w:pPr>
            <w:r>
              <w:t xml:space="preserve">Production scale, autoscaling, multi-model routing, shared central services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Recommendation for partners:</w:t>
      </w:r>
      <w:r>
        <w:t xml:space="preserve"> </w:t>
      </w:r>
      <w:r>
        <w:t xml:space="preserve">start with the</w:t>
      </w:r>
      <w:r>
        <w:t xml:space="preserve"> </w:t>
      </w:r>
      <w:r>
        <w:rPr>
          <w:b/>
          <w:bCs/>
        </w:rPr>
        <w:t xml:space="preserve">common approach</w:t>
      </w:r>
      <w:r>
        <w:t xml:space="preserve"> </w:t>
      </w:r>
      <w:r>
        <w:t xml:space="preserve">to deliver value immediately. Graduate to the</w:t>
      </w:r>
      <w:r>
        <w:t xml:space="preserve"> </w:t>
      </w:r>
      <w:r>
        <w:rPr>
          <w:b/>
          <w:bCs/>
        </w:rPr>
        <w:t xml:space="preserve">advanced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ray-serve-cai</w:t>
      </w:r>
      <w:r>
        <w:t xml:space="preserve"> </w:t>
      </w:r>
      <w:r>
        <w:t xml:space="preserve">tier when the customer needs production-grade scaling, higher throughput, or a shared central gateway/guardrail across many workflows — engage Cloudera Professional Services for that stage.</w:t>
      </w:r>
    </w:p>
    <w:p>
      <w:r>
        <w:pict>
          <v:rect style="width:0;height:1.5pt" o:hralign="center" o:hrstd="t" o:hr="t"/>
        </w:pict>
      </w:r>
    </w:p>
    <w:bookmarkStart w:id="21" w:name="X93eec7a7529b2a83170b3e73bed5a648cc445b9"/>
    <w:p>
      <w:pPr>
        <w:pStyle w:val="Heading3"/>
      </w:pPr>
      <w:r>
        <w:t xml:space="preserve">3.1 Common Approach (Available Now) — Stand-alone CAI Workbench Applications</w:t>
      </w:r>
    </w:p>
    <w:p>
      <w:pPr>
        <w:pStyle w:val="FirstParagraph"/>
      </w:pPr>
      <w:r>
        <w:t xml:space="preserve">Host the gateway and the guardrail as</w:t>
      </w:r>
      <w:r>
        <w:t xml:space="preserve"> </w:t>
      </w:r>
      <w:r>
        <w:rPr>
          <w:b/>
          <w:bCs/>
        </w:rPr>
        <w:t xml:space="preserve">two independent CAI Workbench Applications</w:t>
      </w:r>
      <w:r>
        <w:t xml:space="preserve">, each a single Python entry script served on</w:t>
      </w:r>
      <w:r>
        <w:t xml:space="preserve"> </w:t>
      </w:r>
      <w:r>
        <w:rPr>
          <w:rStyle w:val="VerbatimChar"/>
        </w:rPr>
        <w:t xml:space="preserve">CDSW_APP_PORT</w:t>
      </w:r>
      <w:r>
        <w:t xml:space="preserve">. (</w:t>
      </w:r>
      <w:hyperlink r:id="rId10">
        <w:r>
          <w:rPr>
            <w:rStyle w:val="Hyperlink"/>
          </w:rPr>
          <w:t xml:space="preserve">Analytical Applications</w:t>
        </w:r>
      </w:hyperlink>
      <w:r>
        <w:t xml:space="preserve">) Both call the CAI Inference Service models over the OpenAI API. Nothing leaves CAI.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Common Approach — Gateway &amp; Governance as CAI Workbench Applications" title="" id="19" name="Picture"/>
            <a:graphic>
              <a:graphicData uri="http://schemas.openxmlformats.org/drawingml/2006/picture">
                <pic:pic>
                  <pic:nvPicPr>
                    <pic:cNvPr descr="cai_gateway_common_workbench_app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AI Gateway Application:</w:t>
      </w:r>
      <w:r>
        <w:t xml:space="preserve"> </w:t>
      </w:r>
      <w:r>
        <w:t xml:space="preserve">run a lightweight OpenAI-compatible proxy (e.g. a LiteLLM proxy, or a small FastAPI app) as the Workbench Application's Python entry point. It provides routing, per-key rate limiting/quota, response caching, and cost/token logging in front of the CAI Inference endpoints.</w:t>
      </w:r>
    </w:p>
    <w:p>
      <w:pPr>
        <w:pStyle w:val="BodyText"/>
      </w:pPr>
      <w:r>
        <w:rPr>
          <w:b/>
          <w:bCs/>
        </w:rPr>
        <w:t xml:space="preserve">Guardrail Application:</w:t>
      </w:r>
      <w:r>
        <w:t xml:space="preserve"> </w:t>
      </w:r>
      <w:r>
        <w:t xml:space="preserve">run a guardrail server (e.g.</w:t>
      </w:r>
      <w:r>
        <w:t xml:space="preserve"> </w:t>
      </w:r>
      <w:r>
        <w:rPr>
          <w:b/>
          <w:bCs/>
        </w:rPr>
        <w:t xml:space="preserve">NeMo Guardrails</w:t>
      </w:r>
      <w:r>
        <w:t xml:space="preserve">, or a thin service that calls a</w:t>
      </w:r>
      <w:r>
        <w:t xml:space="preserve"> </w:t>
      </w:r>
      <w:r>
        <w:rPr>
          <w:b/>
          <w:bCs/>
        </w:rPr>
        <w:t xml:space="preserve">Llama Guard 3</w:t>
      </w:r>
      <w:r>
        <w:t xml:space="preserve"> </w:t>
      </w:r>
      <w:r>
        <w:t xml:space="preserve">model hosted on CAI Inference) as a second Workbench Application. Agent Studio's</w:t>
      </w:r>
      <w:r>
        <w:t xml:space="preserve"> </w:t>
      </w:r>
      <w:r>
        <w:rPr>
          <w:rStyle w:val="VerbatimChar"/>
        </w:rPr>
        <w:t xml:space="preserve">guardrail_tool</w:t>
      </w:r>
      <w:r>
        <w:t xml:space="preserve"> </w:t>
      </w:r>
      <w:r>
        <w:t xml:space="preserve">points its Layer 2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mode at this application's endpoint.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Trade-offs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  <w:r>
              <w:t xml:space="preserve"> </w:t>
            </w:r>
            <w:r>
              <w:rPr>
                <w:b/>
                <w:bCs/>
              </w:rPr>
              <w:t xml:space="preserve">today</w:t>
            </w:r>
            <w:r>
              <w:t xml:space="preserve"> </w:t>
            </w:r>
            <w:r>
              <w:t xml:space="preserve">on any on-prem CAI; no Professional Services dependency</w:t>
            </w:r>
          </w:p>
        </w:tc>
        <w:tc>
          <w:tcPr/>
          <w:p>
            <w:pPr>
              <w:pStyle w:val="Compact"/>
            </w:pPr>
            <w:r>
              <w:t xml:space="preserve">Each app is a</w:t>
            </w:r>
            <w:r>
              <w:t xml:space="preserve"> </w:t>
            </w:r>
            <w:r>
              <w:rPr>
                <w:b/>
                <w:bCs/>
              </w:rPr>
              <w:t xml:space="preserve">single Python entry</w:t>
            </w:r>
            <w:r>
              <w:t xml:space="preserve"> </w:t>
            </w:r>
            <w:r>
              <w:t xml:space="preserve">— limited horizontal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to build, version, and hand over to an SI</w:t>
            </w:r>
          </w:p>
        </w:tc>
        <w:tc>
          <w:tcPr/>
          <w:p>
            <w:pPr>
              <w:pStyle w:val="Compact"/>
            </w:pPr>
            <w:r>
              <w:t xml:space="preserve">App engines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autoscale / scale-to-zero like inference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inside CAI; uses CAI auth and networking</w:t>
            </w:r>
          </w:p>
        </w:tc>
        <w:tc>
          <w:tcPr/>
          <w:p>
            <w:pPr>
              <w:pStyle w:val="Compact"/>
            </w:pPr>
            <w:r>
              <w:t xml:space="preserve">Gateway and guardrail are separate apps to operate individually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Xfba4fe73dcd26cc412cdbf37d923578d88e8c03"/>
    <w:p>
      <w:pPr>
        <w:pStyle w:val="Heading3"/>
      </w:pPr>
      <w:r>
        <w:t xml:space="preserve">3.2 Advanced Approach (Cloudera Professional Services — In Progress) —</w:t>
      </w:r>
      <w:r>
        <w:t xml:space="preserve"> </w:t>
      </w:r>
      <w:r>
        <w:rPr>
          <w:rStyle w:val="VerbatimChar"/>
        </w:rPr>
        <w:t xml:space="preserve">ray-serve-cai</w:t>
      </w:r>
      <w:r>
        <w:t xml:space="preserve"> </w:t>
      </w:r>
      <w:r>
        <w:t xml:space="preserve">Microservices</w:t>
      </w:r>
    </w:p>
    <w:p>
      <w:pPr>
        <w:pStyle w:val="FirstParagraph"/>
      </w:pPr>
      <w:r>
        <w:t xml:space="preserve">For production scale, host the gateway and guardrail as</w:t>
      </w:r>
      <w:r>
        <w:t xml:space="preserve"> </w:t>
      </w:r>
      <w:r>
        <w:rPr>
          <w:b/>
          <w:bCs/>
        </w:rPr>
        <w:t xml:space="preserve">Ray Serve microservices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  <w:b/>
          <w:bCs/>
        </w:rPr>
        <w:t xml:space="preserve">ray-serve-cai</w:t>
      </w:r>
      <w:r>
        <w:t xml:space="preserve">, which launches a Ray cluster using</w:t>
      </w:r>
      <w:r>
        <w:t xml:space="preserve"> </w:t>
      </w:r>
      <w:r>
        <w:rPr>
          <w:b/>
          <w:bCs/>
        </w:rPr>
        <w:t xml:space="preserve">CML Applications as nodes</w:t>
      </w:r>
      <w:r>
        <w:t xml:space="preserve"> </w:t>
      </w:r>
      <w:r>
        <w:t xml:space="preserve">(1 head + N workers) entirely within the CAI Workbench. These microservices speak the OpenAI API to the CAI Inference Service.</w:t>
      </w:r>
    </w:p>
    <w:p>
      <w:pPr>
        <w:pStyle w:val="BlockText"/>
      </w:pPr>
      <w:r>
        <w:rPr>
          <w:rStyle w:val="VerbatimChar"/>
          <w:b/>
          <w:bCs/>
        </w:rPr>
        <w:t xml:space="preserve">ray-serve-cai</w:t>
      </w:r>
      <w:r>
        <w:rPr>
          <w:b/>
          <w:bCs/>
        </w:rPr>
        <w:t xml:space="preserve"> </w:t>
      </w:r>
      <w:r>
        <w:rPr>
          <w:b/>
          <w:bCs/>
        </w:rPr>
        <w:t xml:space="preserve">is a Cloudera internal Professional Services capability, currently in progress.</w:t>
      </w:r>
      <w:r>
        <w:t xml:space="preserve"> </w:t>
      </w:r>
      <w:r>
        <w:t xml:space="preserve">Engage the Cloudera PS team to deploy this tier. It supersedes the common approach for customers who need throughput, autoscaling, and shared central services.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Advanced Approach — Gateway &amp; Governance on ray-serve-cai" title="" id="23" name="Picture"/>
            <a:graphic>
              <a:graphicData uri="http://schemas.openxmlformats.org/drawingml/2006/picture">
                <pic:pic>
                  <pic:nvPicPr>
                    <pic:cNvPr descr="cai_gateway_advanced_ray_serve_cai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ray-serve-cai</w:t>
      </w:r>
      <w:r>
        <w:rPr>
          <w:b/>
          <w:bCs/>
        </w:rPr>
        <w:t xml:space="preserve"> </w:t>
      </w:r>
      <w:r>
        <w:rPr>
          <w:b/>
          <w:bCs/>
        </w:rPr>
        <w:t xml:space="preserve">adds over the common approach: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Launches a Ray cluster on CAI</w:t>
      </w:r>
      <w:r>
        <w:t xml:space="preserve"> </w:t>
      </w:r>
      <w:r>
        <w:t xml:space="preserve">using CML Applications as nodes (head with no GPU + GPU workers). (</w:t>
      </w:r>
      <w:hyperlink r:id="rId25">
        <w:r>
          <w:rPr>
            <w:rStyle w:val="Hyperlink"/>
          </w:rPr>
          <w:t xml:space="preserve">ray-serve-cai README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Autoscaling across worker nodes</w:t>
      </w:r>
      <w:r>
        <w:t xml:space="preserve"> </w:t>
      </w:r>
      <w:r>
        <w:t xml:space="preserve">instead of a single Python entry per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OpenAI-compatible</w:t>
      </w:r>
      <w:r>
        <w:t xml:space="preserve"> </w:t>
      </w:r>
      <w:r>
        <w:t xml:space="preserve">serving surface — gateway and guard models are drop-in for any OpenAI client.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Plugin engine architecture</w:t>
      </w:r>
      <w:r>
        <w:t xml:space="preserve"> </w:t>
      </w:r>
      <w:r>
        <w:t xml:space="preserve">(vLLM stable; SGLang/custom planned) to host guard models or small auxiliary models directly on the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shared cluster</w:t>
      </w:r>
      <w:r>
        <w:t xml:space="preserve"> </w:t>
      </w:r>
      <w:r>
        <w:t xml:space="preserve">hosts both the gateway and the central guardrail microservices, so policy and routing are centralised across all workflows.</w:t>
      </w:r>
    </w:p>
    <w:p>
      <w:pPr>
        <w:pStyle w:val="FirstParagraph"/>
      </w:pPr>
      <w:r>
        <w:rPr>
          <w:b/>
          <w:bCs/>
        </w:rPr>
        <w:t xml:space="preserve">Division of labour (advanced tier):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</w:p>
        </w:tc>
        <w:tc>
          <w:tcPr/>
          <w:p>
            <w:pPr>
              <w:pStyle w:val="Compact"/>
            </w:pPr>
            <w:r>
              <w:t xml:space="preserve">Runs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 Inference Service</w:t>
            </w:r>
          </w:p>
        </w:tc>
        <w:tc>
          <w:tcPr/>
          <w:p>
            <w:pPr>
              <w:pStyle w:val="Compact"/>
            </w:pPr>
            <w:r>
              <w:t xml:space="preserve">Production LLMs (+ optional guard model via NIM)</w:t>
            </w:r>
          </w:p>
        </w:tc>
        <w:tc>
          <w:tcPr/>
          <w:p>
            <w:pPr>
              <w:pStyle w:val="Compact"/>
            </w:pPr>
            <w:r>
              <w:t xml:space="preserve">KServe / NIM / Triton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ray-serve-cai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AI Gateway microservice, Central Guardrail microservice, small auxiliary models</w:t>
            </w:r>
          </w:p>
        </w:tc>
        <w:tc>
          <w:tcPr/>
          <w:p>
            <w:pPr>
              <w:pStyle w:val="Compact"/>
            </w:pPr>
            <w:r>
              <w:t xml:space="preserve">Ray Serve on CML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Studio</w:t>
            </w:r>
          </w:p>
        </w:tc>
        <w:tc>
          <w:tcPr/>
          <w:p>
            <w:pPr>
              <w:pStyle w:val="Compact"/>
            </w:pPr>
            <w:r>
              <w:t xml:space="preserve">Workflows, agents,</w:t>
            </w:r>
            <w:r>
              <w:t xml:space="preserve"> </w:t>
            </w:r>
            <w:r>
              <w:rPr>
                <w:rStyle w:val="VerbatimChar"/>
              </w:rPr>
              <w:t xml:space="preserve">guardrail_tool</w:t>
            </w:r>
            <w:r>
              <w:t xml:space="preserve"> </w:t>
            </w:r>
            <w:r>
              <w:t xml:space="preserve">(Task 0)</w:t>
            </w:r>
          </w:p>
        </w:tc>
        <w:tc>
          <w:tcPr/>
          <w:p>
            <w:pPr>
              <w:pStyle w:val="Compact"/>
            </w:pPr>
            <w:r>
              <w:t xml:space="preserve">CAI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 / AI Registry</w:t>
            </w:r>
          </w:p>
        </w:tc>
        <w:tc>
          <w:tcPr/>
          <w:p>
            <w:pPr>
              <w:pStyle w:val="Compact"/>
            </w:pPr>
            <w:r>
              <w:t xml:space="preserve">Lineage, versions, audit</w:t>
            </w:r>
          </w:p>
        </w:tc>
        <w:tc>
          <w:tcPr/>
          <w:p>
            <w:pPr>
              <w:pStyle w:val="Compact"/>
            </w:pPr>
            <w:r>
              <w:t xml:space="preserve">CAI governance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X91cda595fc108fb61eeca9cc4a3524ea79dd93c"/>
    <w:p>
      <w:pPr>
        <w:pStyle w:val="Heading2"/>
      </w:pPr>
      <w:r>
        <w:t xml:space="preserve">4. The Three Planes (apply to both tiers)</w:t>
      </w:r>
    </w:p>
    <w:bookmarkStart w:id="28" w:name="plane-a--ai-gateway"/>
    <w:p>
      <w:pPr>
        <w:pStyle w:val="Heading3"/>
      </w:pPr>
      <w:r>
        <w:t xml:space="preserve">Plane A — AI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Common (Workbench App)</w:t>
            </w:r>
          </w:p>
        </w:tc>
        <w:tc>
          <w:tcPr/>
          <w:p>
            <w:pPr>
              <w:pStyle w:val="Compact"/>
            </w:pPr>
            <w:r>
              <w:t xml:space="preserve">Advanced (</w:t>
            </w:r>
            <w:r>
              <w:rPr>
                <w:rStyle w:val="VerbatimChar"/>
              </w:rPr>
              <w:t xml:space="preserve">ray-serve-cai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OpenAI API</w:t>
            </w:r>
          </w:p>
        </w:tc>
        <w:tc>
          <w:tcPr/>
          <w:p>
            <w:pPr>
              <w:pStyle w:val="Compact"/>
            </w:pPr>
            <w:r>
              <w:t xml:space="preserve">Single proxy app exposes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</w:p>
        </w:tc>
        <w:tc>
          <w:tcPr/>
          <w:p>
            <w:pPr>
              <w:pStyle w:val="Compact"/>
            </w:pPr>
            <w:r>
              <w:t xml:space="preserve">Ray Serve deployment exposes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/ fallback</w:t>
            </w:r>
          </w:p>
        </w:tc>
        <w:tc>
          <w:tcPr/>
          <w:p>
            <w:pPr>
              <w:pStyle w:val="Compact"/>
            </w:pPr>
            <w:r>
              <w:t xml:space="preserve">Proxy routes by model name to CAI Inference endpoints</w:t>
            </w:r>
          </w:p>
        </w:tc>
        <w:tc>
          <w:tcPr/>
          <w:p>
            <w:pPr>
              <w:pStyle w:val="Compact"/>
            </w:pPr>
            <w:r>
              <w:t xml:space="preserve">Gateway deployment routes across CAI Inference + Ray-hosted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/ quota / keys</w:t>
            </w:r>
          </w:p>
        </w:tc>
        <w:tc>
          <w:tcPr/>
          <w:p>
            <w:pPr>
              <w:pStyle w:val="Compact"/>
            </w:pPr>
            <w:r>
              <w:t xml:space="preserve">In the proxy app (per-key budgets)</w:t>
            </w:r>
          </w:p>
        </w:tc>
        <w:tc>
          <w:tcPr/>
          <w:p>
            <w:pPr>
              <w:pStyle w:val="Compact"/>
            </w:pPr>
            <w:r>
              <w:t xml:space="preserve">In the gateway deployment, cluster-wide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In-app cache</w:t>
            </w:r>
          </w:p>
        </w:tc>
        <w:tc>
          <w:tcPr/>
          <w:p>
            <w:pPr>
              <w:pStyle w:val="Compact"/>
            </w:pPr>
            <w:r>
              <w:t xml:space="preserve">Ray Serve shared cache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/ logging</w:t>
            </w:r>
          </w:p>
        </w:tc>
        <w:tc>
          <w:tcPr/>
          <w:p>
            <w:pPr>
              <w:pStyle w:val="Compact"/>
            </w:pPr>
            <w:r>
              <w:t xml:space="preserve">App emits per-request records</w:t>
            </w:r>
          </w:p>
        </w:tc>
        <w:tc>
          <w:tcPr/>
          <w:p>
            <w:pPr>
              <w:pStyle w:val="Compact"/>
            </w:pPr>
            <w:r>
              <w:t xml:space="preserve">Gateway emits records; Ray dashboard + metrics</w:t>
            </w:r>
          </w:p>
        </w:tc>
      </w:tr>
    </w:tbl>
    <w:bookmarkEnd w:id="28"/>
    <w:bookmarkStart w:id="29" w:name="X5cf5fc5dbb79494879555f0e7775ed71ae4f556"/>
    <w:p>
      <w:pPr>
        <w:pStyle w:val="Heading3"/>
      </w:pPr>
      <w:r>
        <w:t xml:space="preserve">Plane B — Central Guardrail + the</w:t>
      </w:r>
      <w:r>
        <w:t xml:space="preserve"> </w:t>
      </w:r>
      <w:r>
        <w:rPr>
          <w:rStyle w:val="VerbatimChar"/>
        </w:rPr>
        <w:t xml:space="preserve">guardrail_tool</w:t>
      </w:r>
    </w:p>
    <w:p>
      <w:pPr>
        <w:pStyle w:val="FirstParagraph"/>
      </w:pPr>
      <w:r>
        <w:t xml:space="preserve">The central guardrail server can be</w:t>
      </w:r>
      <w:r>
        <w:t xml:space="preserve"> </w:t>
      </w:r>
      <w:r>
        <w:rPr>
          <w:b/>
          <w:bCs/>
        </w:rPr>
        <w:t xml:space="preserve">NeMo Guardrails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Llama Guard 3</w:t>
      </w:r>
      <w:r>
        <w:t xml:space="preserve"> </w:t>
      </w:r>
      <w:r>
        <w:t xml:space="preserve">model — hosted as a Workbench Application (common) or a Ray Serve microservice (advanced). Either way, the heavy guard-model inference can also sit on the</w:t>
      </w:r>
      <w:r>
        <w:t xml:space="preserve"> </w:t>
      </w:r>
      <w:r>
        <w:rPr>
          <w:b/>
          <w:bCs/>
        </w:rPr>
        <w:t xml:space="preserve">CAI Inference Service</w:t>
      </w:r>
      <w:r>
        <w:t xml:space="preserve"> </w:t>
      </w:r>
      <w:r>
        <w:t xml:space="preserve">(NIM), with the guardrail server orchestrating rail logic in front of it.</w:t>
      </w:r>
    </w:p>
    <w:p>
      <w:pPr>
        <w:pStyle w:val="BodyText"/>
      </w:pPr>
      <w:r>
        <w:t xml:space="preserve">This project's</w:t>
      </w:r>
      <w:r>
        <w:t xml:space="preserve"> </w:t>
      </w:r>
      <w:r>
        <w:rPr>
          <w:rStyle w:val="VerbatimChar"/>
          <w:b/>
          <w:bCs/>
        </w:rPr>
        <w:t xml:space="preserve">guardrail_tool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studio-data/tool_templates/guardrail_tool/</w:t>
      </w:r>
      <w:r>
        <w:t xml:space="preserve">) is one of the</w:t>
      </w:r>
      <w:r>
        <w:t xml:space="preserve"> </w:t>
      </w:r>
      <w:r>
        <w:rPr>
          <w:b/>
          <w:bCs/>
        </w:rPr>
        <w:t xml:space="preserve">tools that connects to the central guardrail server / CAI Inference services</w:t>
      </w:r>
      <w:r>
        <w:t xml:space="preserve">. It runs as</w:t>
      </w:r>
      <w:r>
        <w:t xml:space="preserve"> </w:t>
      </w:r>
      <w:r>
        <w:rPr>
          <w:b/>
          <w:bCs/>
        </w:rPr>
        <w:t xml:space="preserve">Task 0</w:t>
      </w:r>
      <w:r>
        <w:t xml:space="preserve"> </w:t>
      </w:r>
      <w:r>
        <w:t xml:space="preserve">in Agent Studio workflows and enforces input safety before prompts reach downstream agents: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 it runs on CAI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Regex / heuristics</w:t>
            </w:r>
          </w:p>
        </w:tc>
        <w:tc>
          <w:tcPr/>
          <w:p>
            <w:pPr>
              <w:pStyle w:val="Compact"/>
            </w:pPr>
            <w:r>
              <w:t xml:space="preserve">Prompt-injection, jailbreak, SQL-DDL, schema-fishing</w:t>
            </w:r>
          </w:p>
        </w:tc>
        <w:tc>
          <w:tcPr/>
          <w:p>
            <w:pPr>
              <w:pStyle w:val="Compact"/>
            </w:pPr>
            <w:r>
              <w:t xml:space="preserve">In-process (stdlib), &lt; 1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ML classifier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mode →</w:t>
            </w:r>
            <w:r>
              <w:t xml:space="preserve"> </w:t>
            </w:r>
            <w:r>
              <w:rPr>
                <w:b/>
                <w:bCs/>
              </w:rPr>
              <w:t xml:space="preserve">central guardrail server</w:t>
            </w:r>
            <w:r>
              <w:t xml:space="preserve"> </w:t>
            </w:r>
            <w:r>
              <w:t xml:space="preserve">(Llama Guard 3 / NeMo Guardrails)</w:t>
            </w:r>
          </w:p>
        </w:tc>
        <w:tc>
          <w:tcPr/>
          <w:p>
            <w:pPr>
              <w:pStyle w:val="Compact"/>
            </w:pPr>
            <w:r>
              <w:t xml:space="preserve">Workbench App or Ray Serve microservice or CAII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Domain policy</w:t>
            </w:r>
          </w:p>
        </w:tc>
        <w:tc>
          <w:tcPr/>
          <w:p>
            <w:pPr>
              <w:pStyle w:val="Compact"/>
            </w:pPr>
            <w:r>
              <w:t xml:space="preserve">Table allowlists, sensitive-column (PII/credentials/financial) blocking</w:t>
            </w:r>
          </w:p>
        </w:tc>
        <w:tc>
          <w:tcPr/>
          <w:p>
            <w:pPr>
              <w:pStyle w:val="Compact"/>
            </w:pPr>
            <w:r>
              <w:t xml:space="preserve">In-process, &lt; 5 ms</w:t>
            </w:r>
          </w:p>
        </w:tc>
      </w:tr>
    </w:tbl>
    <w:p>
      <w:pPr>
        <w:pStyle w:val="BodyText"/>
      </w:pPr>
      <w:r>
        <w:t xml:space="preserve">Point Layer 2 at the central guardrail endpoint (same config in both tiers — only the URL changes):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"text_to_sql"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"classifier_endpoint"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"https://&lt;guardrail-app-or-ray-endpoint&gt;/v1"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"classifier_api_key"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"&lt;cdp-jwt&gt;"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"openai_compatible"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"classifier_threshold"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gives</w:t>
      </w:r>
      <w:r>
        <w:t xml:space="preserve"> </w:t>
      </w:r>
      <w:r>
        <w:rPr>
          <w:b/>
          <w:bCs/>
        </w:rPr>
        <w:t xml:space="preserve">defence in depth</w:t>
      </w:r>
      <w:r>
        <w:t xml:space="preserve">: cheap local regex/policy in the tool, plus a centralised model-based rail on CAI for the hard cases. Multiple tools and applications share the one guardrail server, so policy is consistent and centrally updatable.</w:t>
      </w:r>
    </w:p>
    <w:bookmarkEnd w:id="29"/>
    <w:bookmarkStart w:id="30" w:name="X159162a340e581e4b32da661e02fc9fe9d03885"/>
    <w:p>
      <w:pPr>
        <w:pStyle w:val="Heading3"/>
      </w:pPr>
      <w:r>
        <w:t xml:space="preserve">Plane C — Audit &amp; Lineage (identical in both tiers)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lineage / versioning / access control:</w:t>
      </w:r>
      <w:r>
        <w:t xml:space="preserve"> </w:t>
      </w:r>
      <w:r>
        <w:rPr>
          <w:b/>
          <w:bCs/>
        </w:rPr>
        <w:t xml:space="preserve">CAI Registry + Apache Atlas</w:t>
      </w:r>
      <w:r>
        <w:t xml:space="preserve"> </w:t>
      </w:r>
      <w:r>
        <w:t xml:space="preserve">(enable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at workbench provisioning). (</w:t>
      </w:r>
      <w:hyperlink r:id="rId9">
        <w:r>
          <w:rPr>
            <w:rStyle w:val="Hyperlink"/>
          </w:rPr>
          <w:t xml:space="preserve">CAI Inference Overview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Prompt / completion audit trail:</w:t>
      </w:r>
      <w:r>
        <w:t xml:space="preserve"> </w:t>
      </w:r>
      <w:r>
        <w:t xml:space="preserve">captured at the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(Plane A) and written to the customer's on-prem log store.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Workflow-level audit:</w:t>
      </w:r>
      <w:r>
        <w:t xml:space="preserve"> </w:t>
      </w:r>
      <w:r>
        <w:t xml:space="preserve">Agent Studio persists every task input/output, including each</w:t>
      </w:r>
      <w:r>
        <w:t xml:space="preserve"> </w:t>
      </w:r>
      <w:r>
        <w:rPr>
          <w:rStyle w:val="VerbatimChar"/>
        </w:rPr>
        <w:t xml:space="preserve">guardrail_tool</w:t>
      </w:r>
      <w:r>
        <w:t xml:space="preserve"> </w:t>
      </w:r>
      <w:r>
        <w:t xml:space="preserve">verdict (ALLOW/BLOCK + threat categories + layer).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14c28887d5be6d77a45a890060b740a6135d3b7"/>
    <w:p>
      <w:pPr>
        <w:pStyle w:val="Heading2"/>
      </w:pPr>
      <w:r>
        <w:t xml:space="preserve">5. Recommended Solution by Time Horizon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AI Gateway</w:t>
            </w:r>
          </w:p>
        </w:tc>
        <w:tc>
          <w:tcPr/>
          <w:p>
            <w:pPr>
              <w:pStyle w:val="Compact"/>
            </w:pPr>
            <w:r>
              <w:t xml:space="preserve">AI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 — common approach</w:t>
            </w:r>
          </w:p>
        </w:tc>
        <w:tc>
          <w:tcPr/>
          <w:p>
            <w:pPr>
              <w:pStyle w:val="Compact"/>
            </w:pPr>
            <w:r>
              <w:t xml:space="preserve">Gateway as a</w:t>
            </w:r>
            <w:r>
              <w:t xml:space="preserve"> </w:t>
            </w:r>
            <w:r>
              <w:rPr>
                <w:b/>
                <w:bCs/>
              </w:rPr>
              <w:t xml:space="preserve">stand-alone CAI Workbench Application</w:t>
            </w:r>
            <w:r>
              <w:t xml:space="preserve"> </w:t>
            </w:r>
            <w:r>
              <w:t xml:space="preserve">(OpenAI-compatible proxy) fronting CAI Inference endpoints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  <w:r>
              <w:t xml:space="preserve"> </w:t>
            </w:r>
            <w:r>
              <w:rPr>
                <w:b/>
                <w:bCs/>
              </w:rPr>
              <w:t xml:space="preserve">Workbench Application</w:t>
            </w:r>
            <w:r>
              <w:t xml:space="preserve"> </w:t>
            </w:r>
            <w:r>
              <w:t xml:space="preserve">(NeMo Guardrails / Llama Guard 3) +</w:t>
            </w:r>
            <w:r>
              <w:t xml:space="preserve"> </w:t>
            </w:r>
            <w:r>
              <w:rPr>
                <w:rStyle w:val="VerbatimChar"/>
              </w:rPr>
              <w:t xml:space="preserve">guardrail_tool</w:t>
            </w:r>
            <w:r>
              <w:t xml:space="preserve"> </w:t>
            </w:r>
            <w:r>
              <w:t xml:space="preserve">as Task 0 + Atlas/AI Registry lineage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/ quick demo</w:t>
            </w:r>
          </w:p>
        </w:tc>
        <w:tc>
          <w:tcPr/>
          <w:p>
            <w:pPr>
              <w:pStyle w:val="Compact"/>
            </w:pPr>
            <w:r>
              <w:t xml:space="preserve">Single proxy Workbench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guardrail_tool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mode: local</w:t>
            </w:r>
            <w:r>
              <w:t xml:space="preserve"> </w:t>
            </w:r>
            <w:r>
              <w:t xml:space="preserve">(Prompt-Guard-86M, no extra endpoint)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ray-serve-cai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(Cloudera PS, in progress)</w:t>
            </w:r>
          </w:p>
        </w:tc>
        <w:tc>
          <w:tcPr/>
          <w:p>
            <w:pPr>
              <w:pStyle w:val="Compact"/>
            </w:pPr>
            <w:r>
              <w:t xml:space="preserve">Gateway as a</w:t>
            </w:r>
            <w:r>
              <w:t xml:space="preserve"> </w:t>
            </w:r>
            <w:r>
              <w:rPr>
                <w:b/>
                <w:bCs/>
              </w:rPr>
              <w:t xml:space="preserve">Ray Serve microservice</w:t>
            </w:r>
            <w:r>
              <w:t xml:space="preserve"> </w:t>
            </w:r>
            <w:r>
              <w:t xml:space="preserve">with autoscaling and multi-model routing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  <w:r>
              <w:t xml:space="preserve"> </w:t>
            </w:r>
            <w:r>
              <w:rPr>
                <w:b/>
                <w:bCs/>
              </w:rPr>
              <w:t xml:space="preserve">guardrail microservice</w:t>
            </w:r>
            <w:r>
              <w:t xml:space="preserve"> </w:t>
            </w:r>
            <w:r>
              <w:t xml:space="preserve">on the same Ray cluster, shared across all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(CAII App serving on-prem GA)</w:t>
            </w:r>
          </w:p>
        </w:tc>
        <w:tc>
          <w:tcPr/>
          <w:p>
            <w:pPr>
              <w:pStyle w:val="Compact"/>
            </w:pPr>
            <w:r>
              <w:t xml:space="preserve">Migrate gateway + guardrail to</w:t>
            </w:r>
            <w:r>
              <w:t xml:space="preserve"> </w:t>
            </w:r>
            <w:r>
              <w:rPr>
                <w:b/>
                <w:bCs/>
              </w:rPr>
              <w:t xml:space="preserve">CAI Inference Service Applications</w:t>
            </w:r>
            <w:r>
              <w:t xml:space="preserve"> </w:t>
            </w:r>
            <w:r>
              <w:t xml:space="preserve">(custom Docker, scale-to-zero, MCP-native)</w:t>
            </w:r>
          </w:p>
        </w:tc>
        <w:tc>
          <w:tcPr/>
          <w:p>
            <w:pPr>
              <w:pStyle w:val="Compact"/>
            </w:pPr>
            <w:r>
              <w:t xml:space="preserve">Same governance planes; co-locate guard models and policies in the CAII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8a3935c867c52648924746ab00f9cadec4d43b0"/>
    <w:p>
      <w:pPr>
        <w:pStyle w:val="Heading2"/>
      </w:pPr>
      <w:r>
        <w:t xml:space="preserve">6. Why This Is the Best Available Answer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customer stays in CAI.</w:t>
      </w:r>
      <w:r>
        <w:t xml:space="preserve"> </w:t>
      </w:r>
      <w:r>
        <w:t xml:space="preserve">Gateway, guardrail, models, and lineage all run on Cloudera AI — no external gateway, no data egress, ideal for regulated on-prem buyers.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Progressive adoption.</w:t>
      </w:r>
      <w:r>
        <w:t xml:space="preserve"> </w:t>
      </w:r>
      <w:r>
        <w:t xml:space="preserve">Partners deliver value immediately with the common Workbench-Application approach, then graduate to the advanced</w:t>
      </w:r>
      <w:r>
        <w:t xml:space="preserve"> </w:t>
      </w:r>
      <w:r>
        <w:rPr>
          <w:rStyle w:val="VerbatimChar"/>
        </w:rPr>
        <w:t xml:space="preserve">ray-serve-cai</w:t>
      </w:r>
      <w:r>
        <w:t xml:space="preserve"> </w:t>
      </w:r>
      <w:r>
        <w:t xml:space="preserve">tier (Cloudera Professional Services) when scale demands it — with no rewrite, since both speak the OpenAI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Reuses CAI's strongest assets.</w:t>
      </w:r>
      <w:r>
        <w:t xml:space="preserve"> </w:t>
      </w:r>
      <w:r>
        <w:t xml:space="preserve">Inference Service gives production serving + metrics; AI Registry gives Atlas lineage. We add only the two missing planes — both on CAI.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Centralised, consistent governance.</w:t>
      </w:r>
      <w:r>
        <w:t xml:space="preserve"> </w:t>
      </w:r>
      <w:r>
        <w:t xml:space="preserve">One guardrail server serves every workflow and app; the</w:t>
      </w:r>
      <w:r>
        <w:t xml:space="preserve"> </w:t>
      </w:r>
      <w:r>
        <w:rPr>
          <w:rStyle w:val="VerbatimChar"/>
        </w:rPr>
        <w:t xml:space="preserve">guardrail_tool</w:t>
      </w:r>
      <w:r>
        <w:t xml:space="preserve"> </w:t>
      </w:r>
      <w:r>
        <w:t xml:space="preserve">adds in-workflow defence in depth and shares the same central policy endpoint.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Forward-compatible.</w:t>
      </w:r>
      <w:r>
        <w:t xml:space="preserve"> </w:t>
      </w:r>
      <w:r>
        <w:t xml:space="preserve">Because everything speaks the OpenAI API, Workbench Applications, Ray Serve microservices, and the future on-prem CAII Application deployment are all drop-in swappable.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 is already in this repo.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guardrail_tool</w:t>
      </w:r>
      <w:r>
        <w:t xml:space="preserve"> </w:t>
      </w:r>
      <w:r>
        <w:t xml:space="preserve">is built, documented, and slots into Agent Studio as Task 0 with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or central-server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modes.</w:t>
      </w:r>
    </w:p>
    <w:p>
      <w:r>
        <w:pict>
          <v:rect style="width:0;height:1.5pt" o:hralign="center" o:hrstd="t" o:hr="t"/>
        </w:pict>
      </w:r>
    </w:p>
    <w:bookmarkEnd w:id="33"/>
    <w:bookmarkStart w:id="34" w:name="Xef13cb770278a00c50e641ab9e7e8b454d3bc66"/>
    <w:p>
      <w:pPr>
        <w:pStyle w:val="Heading2"/>
      </w:pPr>
      <w:r>
        <w:t xml:space="preserve">7. References</w:t>
      </w:r>
    </w:p>
    <w:p>
      <w:pPr>
        <w:pStyle w:val="Compact"/>
        <w:numPr>
          <w:ilvl w:val="0"/>
          <w:numId w:val="1006"/>
        </w:numPr>
      </w:pPr>
      <w:hyperlink r:id="rId9">
        <w:r>
          <w:rPr>
            <w:rStyle w:val="Hyperlink"/>
          </w:rPr>
          <w:t xml:space="preserve">Cloudera AI Inference service Overview</w:t>
        </w:r>
      </w:hyperlink>
    </w:p>
    <w:p>
      <w:pPr>
        <w:pStyle w:val="Compact"/>
        <w:numPr>
          <w:ilvl w:val="0"/>
          <w:numId w:val="1006"/>
        </w:numPr>
      </w:pPr>
      <w:hyperlink r:id="rId13">
        <w:r>
          <w:rPr>
            <w:rStyle w:val="Hyperlink"/>
          </w:rPr>
          <w:t xml:space="preserve">Provisioning Cloudera AI Workbenches</w:t>
        </w:r>
      </w:hyperlink>
    </w:p>
    <w:p>
      <w:pPr>
        <w:pStyle w:val="Compact"/>
        <w:numPr>
          <w:ilvl w:val="0"/>
          <w:numId w:val="1006"/>
        </w:numPr>
      </w:pPr>
      <w:hyperlink r:id="rId12">
        <w:r>
          <w:rPr>
            <w:rStyle w:val="Hyperlink"/>
          </w:rPr>
          <w:t xml:space="preserve">AI Studios Overview (Technical Preview)</w:t>
        </w:r>
      </w:hyperlink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Hyperlink"/>
          </w:rPr>
          <w:t xml:space="preserve">Analytical Applications (Workbench)</w:t>
        </w:r>
      </w:hyperlink>
    </w:p>
    <w:p>
      <w:pPr>
        <w:pStyle w:val="Compact"/>
        <w:numPr>
          <w:ilvl w:val="0"/>
          <w:numId w:val="1006"/>
        </w:numPr>
      </w:pPr>
      <w:hyperlink r:id="rId11">
        <w:r>
          <w:rPr>
            <w:rStyle w:val="Hyperlink"/>
          </w:rPr>
          <w:t xml:space="preserve">Serving Applications on Cloudera AI Inference service (Technical Preview)</w:t>
        </w:r>
      </w:hyperlink>
    </w:p>
    <w:p>
      <w:pPr>
        <w:pStyle w:val="Compact"/>
        <w:numPr>
          <w:ilvl w:val="0"/>
          <w:numId w:val="1006"/>
        </w:numPr>
      </w:pPr>
      <w:r>
        <w:t xml:space="preserve">Microservice hosting layer:</w:t>
      </w:r>
      <w:r>
        <w:t xml:space="preserve"> </w:t>
      </w:r>
      <w:r>
        <w:rPr>
          <w:rStyle w:val="VerbatimChar"/>
        </w:rPr>
        <w:t xml:space="preserve">ray-serve-cai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/Users/zhongqishuai/Projects/cldr_projects/ray-serve-cai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Project governance tool:</w:t>
      </w:r>
      <w:r>
        <w:t xml:space="preserve"> </w:t>
      </w:r>
      <w:r>
        <w:rPr>
          <w:rStyle w:val="VerbatimChar"/>
        </w:rPr>
        <w:t xml:space="preserve">studio-data/tool_templates/guardrail_tool/</w:t>
      </w:r>
      <w:r>
        <w:t xml:space="preserve"> </w:t>
      </w:r>
      <w:r>
        <w:t xml:space="preserve">(see its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Theme="minorEastAsia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hyperlink" Id="rId25" Target="../../ray-serve-cai/README.md" TargetMode="External" /><Relationship Type="http://schemas.openxmlformats.org/officeDocument/2006/relationships/hyperlink" Id="rId11" Target="https://docs.cloudera.com/machine-learning/cloud/ai-inference/topics/ml-caii-application-serving-overview.html" TargetMode="External" /><Relationship Type="http://schemas.openxmlformats.org/officeDocument/2006/relationships/hyperlink" Id="rId9" Target="https://docs.cloudera.com/machine-learning/cloud/ai-inference/topics/ml-caii-use-caii.html" TargetMode="External" /><Relationship Type="http://schemas.openxmlformats.org/officeDocument/2006/relationships/hyperlink" Id="rId10" Target="https://docs.cloudera.com/machine-learning/cloud/applications/topics/ml-applications-c.html" TargetMode="External" /><Relationship Type="http://schemas.openxmlformats.org/officeDocument/2006/relationships/hyperlink" Id="rId12" Target="https://docs.cloudera.com/machine-learning/cloud/setup-ai-studios/topics/ml-ai-studios-overview.html" TargetMode="External" /><Relationship Type="http://schemas.openxmlformats.org/officeDocument/2006/relationships/hyperlink" Id="rId13" Target="https://docs.cloudera.com/machine-learning/cloud/workspaces/topics/ml-provision-workspac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ray-serve-cai/README.md" TargetMode="External" /><Relationship Type="http://schemas.openxmlformats.org/officeDocument/2006/relationships/hyperlink" Id="rId11" Target="https://docs.cloudera.com/machine-learning/cloud/ai-inference/topics/ml-caii-application-serving-overview.html" TargetMode="External" /><Relationship Type="http://schemas.openxmlformats.org/officeDocument/2006/relationships/hyperlink" Id="rId9" Target="https://docs.cloudera.com/machine-learning/cloud/ai-inference/topics/ml-caii-use-caii.html" TargetMode="External" /><Relationship Type="http://schemas.openxmlformats.org/officeDocument/2006/relationships/hyperlink" Id="rId10" Target="https://docs.cloudera.com/machine-learning/cloud/applications/topics/ml-applications-c.html" TargetMode="External" /><Relationship Type="http://schemas.openxmlformats.org/officeDocument/2006/relationships/hyperlink" Id="rId12" Target="https://docs.cloudera.com/machine-learning/cloud/setup-ai-studios/topics/ml-ai-studios-overview.html" TargetMode="External" /><Relationship Type="http://schemas.openxmlformats.org/officeDocument/2006/relationships/hyperlink" Id="rId13" Target="https://docs.cloudera.com/machine-learning/cloud/workspaces/topics/ml-provision-workspac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2026-06-01T04:56:30Z</dcterms:created>
  <dcterms:modified xsi:type="dcterms:W3CDTF">2026-06-01T04:56:30Z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