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REPÚBLICA DE PANAMÁ</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MINISTERIO DE SEGURIDAD PÚBLICA</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SERVICIO NACIONAL DE MIGRACIÓN</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pPr>
      <w:r>
        <w:rPr>
          <w:rFonts w:eastAsia="Times New Roman" w:ascii="Times New Roman" w:hAnsi="Times New Roman"/>
          <w:b/>
          <w:sz w:val="24"/>
          <w:szCs w:val="24"/>
          <w:lang w:eastAsia="es-ES"/>
        </w:rPr>
        <w:t>RESOLUCIÓN No. ${numero_resolucion} PANAMÁ,  ${fecha_resolucion}</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EL DIRECTOR GENERAL DEL SERVICIO NACIONAL DE MIGRACIÓN</w:t>
      </w:r>
    </w:p>
    <w:p>
      <w:pPr>
        <w:pStyle w:val="Normal"/>
        <w:tabs>
          <w:tab w:val="left" w:pos="0" w:leader="none"/>
        </w:tabs>
        <w:spacing w:lineRule="auto" w:line="240" w:before="0" w:after="0"/>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En ejercicio de sus facultades legales</w:t>
      </w:r>
    </w:p>
    <w:p>
      <w:pPr>
        <w:pStyle w:val="Normal"/>
        <w:tabs>
          <w:tab w:val="left" w:pos="0" w:leader="none"/>
        </w:tabs>
        <w:spacing w:lineRule="auto" w:line="240" w:before="0" w:after="0"/>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t>CONSIDERANDO</w:t>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tabs>
          <w:tab w:val="left" w:pos="0" w:leader="none"/>
        </w:tabs>
        <w:spacing w:lineRule="auto" w:line="240" w:before="0" w:after="0"/>
        <w:jc w:val="center"/>
        <w:rPr>
          <w:rFonts w:ascii="Times New Roman" w:hAnsi="Times New Roman" w:eastAsia="Times New Roman"/>
          <w:b/>
          <w:b/>
          <w:sz w:val="24"/>
          <w:szCs w:val="24"/>
          <w:lang w:eastAsia="es-ES"/>
        </w:rPr>
      </w:pPr>
      <w:r>
        <w:rPr>
          <w:rFonts w:eastAsia="Times New Roman" w:ascii="Times New Roman" w:hAnsi="Times New Roman"/>
          <w:b/>
          <w:sz w:val="24"/>
          <w:szCs w:val="24"/>
          <w:lang w:eastAsia="es-ES"/>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Decreto Ley No. 3 de 22 de febrero de 2008, TITULO X se crea la  Carrera Migratoria, como un régimen laboral especial fundado en los criterios de igualdad, mérito, honestidad, transparencia, capacidad y eficiencia, para los servidores públicos del Servicio Nacional de Migración.</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Decreto Ejecutivo 138 de 4 de mayo de 2015, se Reglamenta la Carrera Migratoria, objeto de ampliar conceptos, dictar los subsistemas, establecer estructuras y organismos, definir los reglamentos y los procedimientos que faciliten las medidas y disposiciones señaladas en el Decreto Ley.</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Que mediante Resolución No. 608-R-599 de 25 de junio de 2013, se aprueba el Manual de Procedimiento Especial de Ingreso para servidores públicos en funciones, que aspiren a ingresar al Régimen de Carrera y el procedimiento ordinario de Ingreso para nuevos servidores públicos; dando inicio formal a la incorporación del personal permanente al estatus de Carrera Migratoria que cumplan los requisitos del nivel educativo del puesto que desempeña y aprueben el examen de conocimiento aplicado por la Academia </w:t>
        <w:br/>
        <w:t>Migratoria</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el artículo 40 del Decreto Ejecutivo No. 138 de 4 de mayo de 2015, se establece que el ingreso a la Carrera Migratoria estará condicionado al procedimiento de reclutamiento y selección, según la capacidad, la competencia profesional, el mérito, la moral pública, la igualdad de oportunidades y las condiciones psicofísicas, aspectos que se comprobarán mediante instrumentos válidos, idóneos y pertinentes de medición establecidos en el presente Decreto Ejecutivo.</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el artículo 44 del Decreto Ejecutivo No. 138 de 4 de mayo de 2015,  dicta que el proceso de ingreso a la carrera migratoria será evaluado por la Unidad de Recursos Humanos y el Consejo Interno.</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el artículo 65 del Decreto Ejecutivo No. 138 de 4 de mayo de 2015, establece que el período de prueba al cual estará sometido el servidor público de nuevo ingreso, será de un (1) año, transcurrido desde el nombramiento del aspirante hasta su evaluación, de acuerdo con lo estipulado en el reglamento respectivo, el cual determinará al final de este término, la adquisición de la calidad del servidor público de carrera migratoria o de otra manera su desvinculación de la institución.</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t>//..</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-2-</w:t>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Que mediante el artículo 75 del Decreto Ejecutivo No. 138 de 4 de mayo de 2015, se faculta al Director General de Servicio Nacional de Migración conferir el certificado o acreditación respectiva, a quienes cumplan los requisitos para ser considerados servidores públicos de Carrera Migratoria.</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RESUELVE</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t>PRIMERO:</w:t>
      </w:r>
      <w:r>
        <w:rPr>
          <w:rFonts w:ascii="Times New Roman" w:hAnsi="Times New Roman"/>
          <w:sz w:val="24"/>
          <w:szCs w:val="24"/>
        </w:rPr>
        <w:t xml:space="preserve"> </w:t>
      </w:r>
      <w:r>
        <w:rPr>
          <w:rFonts w:ascii="Times New Roman" w:hAnsi="Times New Roman"/>
          <w:b/>
          <w:sz w:val="24"/>
          <w:szCs w:val="24"/>
        </w:rPr>
        <w:t xml:space="preserve">CONFERIR, </w:t>
      </w:r>
      <w:r>
        <w:rPr>
          <w:rFonts w:ascii="Times New Roman" w:hAnsi="Times New Roman"/>
          <w:sz w:val="24"/>
          <w:szCs w:val="24"/>
        </w:rPr>
        <w:t xml:space="preserve">el cargo de servidor público en Carrera Migratoria a: </w:t>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tbl>
      <w:tblPr>
        <w:tblStyle w:val="Tablaconcuadrcula"/>
        <w:tblW w:w="9180" w:type="dxa"/>
        <w:jc w:val="left"/>
        <w:tblInd w:w="0" w:type="dxa"/>
        <w:tblCellMar>
          <w:top w:w="0" w:type="dxa"/>
          <w:left w:w="103" w:type="dxa"/>
          <w:bottom w:w="0" w:type="dxa"/>
          <w:right w:w="108" w:type="dxa"/>
        </w:tblCellMar>
        <w:tblLook w:noVBand="1" w:val="04a0" w:noHBand="0" w:lastColumn="0" w:firstColumn="1" w:lastRow="0" w:firstRow="1"/>
      </w:tblPr>
      <w:tblGrid>
        <w:gridCol w:w="1384"/>
        <w:gridCol w:w="1418"/>
        <w:gridCol w:w="1134"/>
        <w:gridCol w:w="1559"/>
        <w:gridCol w:w="1730"/>
        <w:gridCol w:w="1954"/>
      </w:tblGrid>
      <w:tr>
        <w:trPr/>
        <w:tc>
          <w:tcPr>
            <w:tcW w:w="1384" w:type="dxa"/>
            <w:tcBorders/>
            <w:shd w:fill="auto" w:val="clear"/>
            <w:tcMar>
              <w:left w:w="103" w:type="dxa"/>
            </w:tcMar>
            <w:vAlign w:val="center"/>
          </w:tcPr>
          <w:p>
            <w:pPr>
              <w:pStyle w:val="Normal"/>
              <w:spacing w:lineRule="auto" w:line="240" w:before="0" w:after="0"/>
              <w:jc w:val="center"/>
              <w:rPr>
                <w:rFonts w:ascii="Times New Roman" w:hAnsi="Times New Roman"/>
                <w:b/>
                <w:b/>
              </w:rPr>
            </w:pPr>
            <w:r>
              <w:rPr>
                <w:rFonts w:ascii="Times New Roman" w:hAnsi="Times New Roman"/>
                <w:b/>
              </w:rPr>
              <w:t>POSICIÓN</w:t>
            </w:r>
          </w:p>
        </w:tc>
        <w:tc>
          <w:tcPr>
            <w:tcW w:w="1418" w:type="dxa"/>
            <w:tcBorders/>
            <w:shd w:fill="auto" w:val="clear"/>
            <w:tcMar>
              <w:left w:w="103" w:type="dxa"/>
            </w:tcMar>
            <w:vAlign w:val="center"/>
          </w:tcPr>
          <w:p>
            <w:pPr>
              <w:pStyle w:val="Normal"/>
              <w:spacing w:lineRule="auto" w:line="240" w:before="0" w:after="0"/>
              <w:jc w:val="center"/>
              <w:rPr>
                <w:rFonts w:ascii="Times New Roman" w:hAnsi="Times New Roman"/>
                <w:b/>
                <w:b/>
              </w:rPr>
            </w:pPr>
            <w:r>
              <w:rPr>
                <w:rFonts w:ascii="Times New Roman" w:hAnsi="Times New Roman"/>
                <w:b/>
              </w:rPr>
              <w:t>CÉDULA</w:t>
            </w:r>
          </w:p>
        </w:tc>
        <w:tc>
          <w:tcPr>
            <w:tcW w:w="1134" w:type="dxa"/>
            <w:tcBorders/>
            <w:shd w:fill="auto" w:val="clear"/>
            <w:tcMar>
              <w:left w:w="103" w:type="dxa"/>
            </w:tcMar>
            <w:vAlign w:val="center"/>
          </w:tcPr>
          <w:p>
            <w:pPr>
              <w:pStyle w:val="Normal"/>
              <w:spacing w:lineRule="auto" w:line="240" w:before="0" w:after="0"/>
              <w:jc w:val="center"/>
              <w:rPr>
                <w:rFonts w:ascii="Times New Roman" w:hAnsi="Times New Roman"/>
                <w:b/>
                <w:b/>
              </w:rPr>
            </w:pPr>
            <w:r>
              <w:rPr>
                <w:rFonts w:ascii="Times New Roman" w:hAnsi="Times New Roman"/>
                <w:b/>
              </w:rPr>
              <w:t>CÓDIGO</w:t>
            </w:r>
          </w:p>
        </w:tc>
        <w:tc>
          <w:tcPr>
            <w:tcW w:w="1559" w:type="dxa"/>
            <w:tcBorders/>
            <w:shd w:fill="auto" w:val="clear"/>
            <w:tcMar>
              <w:left w:w="103" w:type="dxa"/>
            </w:tcMar>
            <w:vAlign w:val="center"/>
          </w:tcPr>
          <w:p>
            <w:pPr>
              <w:pStyle w:val="Normal"/>
              <w:spacing w:lineRule="auto" w:line="240" w:before="0" w:after="0"/>
              <w:jc w:val="center"/>
              <w:rPr>
                <w:rFonts w:ascii="Times New Roman" w:hAnsi="Times New Roman"/>
                <w:b/>
                <w:b/>
              </w:rPr>
            </w:pPr>
            <w:r>
              <w:rPr>
                <w:rFonts w:ascii="Times New Roman" w:hAnsi="Times New Roman"/>
                <w:b/>
              </w:rPr>
              <w:t>APELLIDOS</w:t>
            </w:r>
          </w:p>
        </w:tc>
        <w:tc>
          <w:tcPr>
            <w:tcW w:w="1730" w:type="dxa"/>
            <w:tcBorders/>
            <w:shd w:fill="auto" w:val="clear"/>
            <w:tcMar>
              <w:left w:w="103" w:type="dxa"/>
            </w:tcMar>
            <w:vAlign w:val="center"/>
          </w:tcPr>
          <w:p>
            <w:pPr>
              <w:pStyle w:val="Normal"/>
              <w:spacing w:lineRule="auto" w:line="240" w:before="0" w:after="0"/>
              <w:jc w:val="center"/>
              <w:rPr>
                <w:rFonts w:ascii="Times New Roman" w:hAnsi="Times New Roman"/>
                <w:b/>
                <w:b/>
              </w:rPr>
            </w:pPr>
            <w:r>
              <w:rPr>
                <w:rFonts w:ascii="Times New Roman" w:hAnsi="Times New Roman"/>
                <w:b/>
              </w:rPr>
              <w:t>NOMBRES</w:t>
            </w:r>
          </w:p>
        </w:tc>
        <w:tc>
          <w:tcPr>
            <w:tcW w:w="1954" w:type="dxa"/>
            <w:tcBorders/>
            <w:shd w:fill="auto" w:val="clear"/>
            <w:tcMar>
              <w:left w:w="103" w:type="dxa"/>
            </w:tcMar>
            <w:vAlign w:val="center"/>
          </w:tcPr>
          <w:p>
            <w:pPr>
              <w:pStyle w:val="Normal"/>
              <w:spacing w:lineRule="auto" w:line="240" w:before="0" w:after="0"/>
              <w:jc w:val="center"/>
              <w:rPr>
                <w:rFonts w:ascii="Times New Roman" w:hAnsi="Times New Roman"/>
                <w:b/>
                <w:b/>
              </w:rPr>
            </w:pPr>
            <w:r>
              <w:rPr>
                <w:rFonts w:ascii="Times New Roman" w:hAnsi="Times New Roman"/>
                <w:b/>
              </w:rPr>
              <w:t>DESCRIPCION DEL CARGO</w:t>
            </w:r>
          </w:p>
        </w:tc>
      </w:tr>
      <w:tr>
        <w:trPr/>
        <w:tc>
          <w:tcPr>
            <w:tcW w:w="1384" w:type="dxa"/>
            <w:tcBorders/>
            <w:shd w:fill="auto" w:val="clear"/>
            <w:tcMar>
              <w:left w:w="103" w:type="dxa"/>
            </w:tcMar>
            <w:vAlign w:val="center"/>
          </w:tcPr>
          <w:p>
            <w:pPr>
              <w:pStyle w:val="Normal"/>
              <w:spacing w:lineRule="auto" w:line="240" w:before="0" w:after="0"/>
              <w:jc w:val="center"/>
              <w:rPr/>
            </w:pPr>
            <w:r>
              <w:rPr>
                <w:rFonts w:ascii="Times New Roman" w:hAnsi="Times New Roman"/>
                <w:b/>
                <w:sz w:val="24"/>
                <w:szCs w:val="24"/>
              </w:rPr>
              <w:t>${posicion}</w:t>
            </w:r>
          </w:p>
        </w:tc>
        <w:tc>
          <w:tcPr>
            <w:tcW w:w="1418" w:type="dxa"/>
            <w:tcBorders/>
            <w:shd w:fill="auto" w:val="clear"/>
            <w:tcMar>
              <w:left w:w="103" w:type="dxa"/>
            </w:tcMar>
            <w:vAlign w:val="center"/>
          </w:tcPr>
          <w:p>
            <w:pPr>
              <w:pStyle w:val="Normal"/>
              <w:spacing w:lineRule="auto" w:line="240" w:before="0" w:after="0"/>
              <w:jc w:val="center"/>
              <w:rPr/>
            </w:pPr>
            <w:bookmarkStart w:id="0" w:name="__DdeLink__82_228386041"/>
            <w:bookmarkEnd w:id="0"/>
            <w:r>
              <w:rPr>
                <w:rFonts w:ascii="Times New Roman" w:hAnsi="Times New Roman"/>
                <w:b/>
                <w:color w:val="000000"/>
                <w:sz w:val="24"/>
                <w:szCs w:val="24"/>
              </w:rPr>
              <w:t>${cedula}</w:t>
            </w:r>
          </w:p>
        </w:tc>
        <w:tc>
          <w:tcPr>
            <w:tcW w:w="1134" w:type="dxa"/>
            <w:tcBorders/>
            <w:shd w:fill="auto" w:val="clear"/>
            <w:tcMar>
              <w:left w:w="103" w:type="dxa"/>
            </w:tcMar>
            <w:vAlign w:val="center"/>
          </w:tcPr>
          <w:p>
            <w:pPr>
              <w:pStyle w:val="Normal"/>
              <w:spacing w:lineRule="auto" w:line="240" w:before="0" w:after="0"/>
              <w:jc w:val="center"/>
              <w:rPr/>
            </w:pPr>
            <w:r>
              <w:rPr>
                <w:rFonts w:ascii="Times New Roman" w:hAnsi="Times New Roman"/>
                <w:b/>
                <w:sz w:val="24"/>
                <w:szCs w:val="24"/>
              </w:rPr>
              <w:t>${</w:t>
            </w:r>
            <w:r>
              <w:rPr>
                <w:rFonts w:ascii="Times New Roman" w:hAnsi="Times New Roman"/>
                <w:b/>
                <w:sz w:val="24"/>
                <w:szCs w:val="24"/>
              </w:rPr>
              <w:t>cod_cargo</w:t>
            </w:r>
            <w:r>
              <w:rPr>
                <w:rFonts w:ascii="Times New Roman" w:hAnsi="Times New Roman"/>
                <w:b/>
                <w:sz w:val="24"/>
                <w:szCs w:val="24"/>
              </w:rPr>
              <w:t>}</w:t>
            </w:r>
          </w:p>
        </w:tc>
        <w:tc>
          <w:tcPr>
            <w:tcW w:w="1559" w:type="dxa"/>
            <w:tcBorders/>
            <w:shd w:fill="auto" w:val="clear"/>
            <w:tcMar>
              <w:left w:w="103" w:type="dxa"/>
            </w:tcMar>
            <w:vAlign w:val="center"/>
          </w:tcPr>
          <w:p>
            <w:pPr>
              <w:pStyle w:val="Normal"/>
              <w:spacing w:lineRule="auto" w:line="240" w:before="0" w:after="0"/>
              <w:jc w:val="center"/>
              <w:rPr/>
            </w:pPr>
            <w:r>
              <w:rPr>
                <w:rFonts w:ascii="Times New Roman" w:hAnsi="Times New Roman"/>
                <w:b/>
                <w:color w:val="000000"/>
                <w:sz w:val="24"/>
                <w:szCs w:val="24"/>
              </w:rPr>
              <w:t>${apellido}</w:t>
            </w:r>
          </w:p>
        </w:tc>
        <w:tc>
          <w:tcPr>
            <w:tcW w:w="1730" w:type="dxa"/>
            <w:tcBorders/>
            <w:shd w:fill="auto" w:val="clear"/>
            <w:tcMar>
              <w:left w:w="103" w:type="dxa"/>
            </w:tcMar>
            <w:vAlign w:val="center"/>
          </w:tcPr>
          <w:p>
            <w:pPr>
              <w:pStyle w:val="Normal"/>
              <w:spacing w:lineRule="auto" w:line="240" w:before="0" w:after="0"/>
              <w:jc w:val="center"/>
              <w:rPr/>
            </w:pPr>
            <w:r>
              <w:rPr>
                <w:rFonts w:ascii="Times New Roman" w:hAnsi="Times New Roman"/>
                <w:b/>
                <w:color w:val="000000"/>
                <w:sz w:val="24"/>
                <w:szCs w:val="24"/>
              </w:rPr>
              <w:t>${nombre}</w:t>
            </w:r>
          </w:p>
        </w:tc>
        <w:tc>
          <w:tcPr>
            <w:tcW w:w="1954" w:type="dxa"/>
            <w:tcBorders/>
            <w:shd w:fill="auto" w:val="clear"/>
            <w:tcMar>
              <w:left w:w="103" w:type="dxa"/>
            </w:tcMar>
            <w:vAlign w:val="center"/>
          </w:tcPr>
          <w:p>
            <w:pPr>
              <w:pStyle w:val="Normal"/>
              <w:spacing w:lineRule="auto" w:line="240" w:before="0" w:after="0"/>
              <w:jc w:val="center"/>
              <w:rPr/>
            </w:pPr>
            <w:r>
              <w:rPr>
                <w:rFonts w:ascii="Times New Roman" w:hAnsi="Times New Roman"/>
                <w:b/>
                <w:sz w:val="24"/>
                <w:szCs w:val="24"/>
              </w:rPr>
              <w:t xml:space="preserve">${cargo} </w:t>
            </w:r>
          </w:p>
        </w:tc>
      </w:tr>
    </w:tbl>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sz w:val="24"/>
          <w:szCs w:val="24"/>
        </w:rPr>
        <w:t xml:space="preserve">SEGUNDO: </w:t>
        <w:tab/>
        <w:t xml:space="preserve">RECONOCER </w:t>
      </w:r>
      <w:r>
        <w:rPr>
          <w:rFonts w:ascii="Times New Roman" w:hAnsi="Times New Roman"/>
          <w:sz w:val="24"/>
          <w:szCs w:val="24"/>
        </w:rPr>
        <w:t>al Servidor Público incorporado al Régimen de Carrera Migratoria todos los derechos que le confiere la Ley y demás disposiciones reglamentarias.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pPr>
      <w:r>
        <w:rPr>
          <w:rFonts w:ascii="Times New Roman" w:hAnsi="Times New Roman"/>
          <w:b/>
          <w:sz w:val="24"/>
          <w:szCs w:val="24"/>
        </w:rPr>
        <w:t>TERCERO:</w:t>
      </w:r>
      <w:r>
        <w:rPr>
          <w:rFonts w:ascii="Times New Roman" w:hAnsi="Times New Roman"/>
          <w:sz w:val="24"/>
          <w:szCs w:val="24"/>
        </w:rPr>
        <w:t xml:space="preserve"> </w:t>
      </w:r>
      <w:r>
        <w:rPr>
          <w:rFonts w:ascii="Times New Roman" w:hAnsi="Times New Roman"/>
          <w:b/>
          <w:sz w:val="24"/>
          <w:szCs w:val="24"/>
        </w:rPr>
        <w:t xml:space="preserve">NOTIFICAR </w:t>
      </w:r>
      <w:r>
        <w:rPr>
          <w:rFonts w:ascii="Times New Roman" w:hAnsi="Times New Roman"/>
          <w:sz w:val="24"/>
          <w:szCs w:val="24"/>
        </w:rPr>
        <w:t>al Servidor Público incorporado a la Carrera Migratoria, a través del Procedimiento ${proceso}, que será sometido a un período de orientación por la Unidad de Recursos Humanos.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sz w:val="24"/>
          <w:szCs w:val="24"/>
        </w:rPr>
      </w:pPr>
      <w:r>
        <w:rPr>
          <w:rFonts w:ascii="Times New Roman" w:hAnsi="Times New Roman"/>
          <w:b/>
          <w:color w:val="000000" w:themeColor="text1"/>
          <w:sz w:val="24"/>
          <w:szCs w:val="24"/>
        </w:rPr>
        <w:t>CUARTO:</w:t>
      </w:r>
      <w:r>
        <w:rPr>
          <w:rFonts w:ascii="Times New Roman" w:hAnsi="Times New Roman"/>
          <w:b/>
          <w:color w:val="FF0000"/>
          <w:sz w:val="24"/>
          <w:szCs w:val="24"/>
        </w:rPr>
        <w:t xml:space="preserve"> </w:t>
      </w:r>
      <w:r>
        <w:rPr>
          <w:rFonts w:ascii="Times New Roman" w:hAnsi="Times New Roman"/>
          <w:color w:val="000000" w:themeColor="text1"/>
          <w:sz w:val="24"/>
          <w:szCs w:val="24"/>
        </w:rPr>
        <w:t>La presente resolución entrará a regir a partir de su notificación</w:t>
      </w:r>
      <w:r>
        <w:rPr>
          <w:rFonts w:ascii="Times New Roman" w:hAnsi="Times New Roman"/>
          <w:sz w:val="24"/>
          <w:szCs w:val="24"/>
        </w:rPr>
        <w:t>.</w:t>
      </w:r>
    </w:p>
    <w:p>
      <w:pPr>
        <w:pStyle w:val="Normal"/>
        <w:jc w:val="both"/>
        <w:rPr>
          <w:rFonts w:ascii="Times New Roman" w:hAnsi="Times New Roman"/>
          <w:b/>
          <w:b/>
          <w:sz w:val="24"/>
          <w:szCs w:val="24"/>
        </w:rPr>
      </w:pPr>
      <w:r>
        <w:rPr>
          <w:rFonts w:ascii="Times New Roman" w:hAnsi="Times New Roman"/>
          <w:b/>
          <w:sz w:val="24"/>
          <w:szCs w:val="24"/>
        </w:rPr>
      </w:r>
    </w:p>
    <w:p>
      <w:pPr>
        <w:pStyle w:val="Normal"/>
        <w:jc w:val="both"/>
        <w:rPr>
          <w:rFonts w:ascii="Times New Roman" w:hAnsi="Times New Roman"/>
          <w:sz w:val="24"/>
          <w:szCs w:val="24"/>
        </w:rPr>
      </w:pPr>
      <w:r>
        <w:rPr>
          <w:rFonts w:ascii="Times New Roman" w:hAnsi="Times New Roman"/>
          <w:b/>
          <w:sz w:val="24"/>
          <w:szCs w:val="24"/>
        </w:rPr>
        <w:t>FUNDAMENTO DE DERECHO</w:t>
      </w:r>
      <w:r>
        <w:rPr>
          <w:rFonts w:ascii="Times New Roman" w:hAnsi="Times New Roman"/>
          <w:sz w:val="24"/>
          <w:szCs w:val="24"/>
        </w:rPr>
        <w:t xml:space="preserve">: Decreto Ley 3 de 22 de febrero de 2008, Decreto Ejecutivo 138 de 4 de mayo de 2015, Resolución 608-R-599 de 25 de junio de 2013.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lang w:val="es-MX"/>
        </w:rPr>
      </w:pPr>
      <w:r>
        <w:rPr>
          <w:rFonts w:ascii="Times New Roman" w:hAnsi="Times New Roman"/>
          <w:b/>
          <w:sz w:val="24"/>
          <w:szCs w:val="24"/>
          <w:lang w:val="es-MX"/>
        </w:rPr>
        <w:t>COMUNÍQUESE Y CÚMPLASE,</w:t>
      </w:r>
    </w:p>
    <w:p>
      <w:pPr>
        <w:pStyle w:val="NoSpacing"/>
        <w:jc w:val="center"/>
        <w:rPr>
          <w:rFonts w:ascii="Times New Roman" w:hAnsi="Times New Roman"/>
          <w:b/>
          <w:b/>
          <w:caps/>
          <w:sz w:val="24"/>
          <w:szCs w:val="24"/>
          <w:lang w:val="es-MX"/>
        </w:rPr>
      </w:pPr>
      <w:r>
        <w:rPr>
          <w:rFonts w:ascii="Times New Roman" w:hAnsi="Times New Roman"/>
          <w:b/>
          <w:caps/>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t xml:space="preserve">           </w:t>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b/>
          <w:b/>
          <w:sz w:val="24"/>
          <w:szCs w:val="24"/>
          <w:lang w:val="es-MX"/>
        </w:rPr>
      </w:pPr>
      <w:r>
        <w:rPr>
          <w:rFonts w:ascii="Times New Roman" w:hAnsi="Times New Roman"/>
          <w:b/>
          <w:sz w:val="24"/>
          <w:szCs w:val="24"/>
          <w:lang w:val="es-MX"/>
        </w:rPr>
      </w:r>
    </w:p>
    <w:p>
      <w:pPr>
        <w:pStyle w:val="NoSpacing"/>
        <w:jc w:val="center"/>
        <w:rPr>
          <w:rFonts w:ascii="Times New Roman" w:hAnsi="Times New Roman"/>
          <w:b/>
          <w:b/>
          <w:sz w:val="24"/>
          <w:szCs w:val="24"/>
          <w:lang w:val="es-MX"/>
        </w:rPr>
      </w:pPr>
      <w:r>
        <w:rPr>
          <w:rFonts w:ascii="Times New Roman" w:hAnsi="Times New Roman"/>
          <w:b/>
          <w:sz w:val="24"/>
          <w:szCs w:val="24"/>
          <w:lang w:val="es-MX"/>
        </w:rPr>
        <w:t>MERCEDES TAYLOR DE NAPOLITANO</w:t>
      </w:r>
    </w:p>
    <w:p>
      <w:pPr>
        <w:pStyle w:val="NoSpacing"/>
        <w:jc w:val="center"/>
        <w:rPr>
          <w:rFonts w:ascii="Times New Roman" w:hAnsi="Times New Roman"/>
          <w:sz w:val="24"/>
          <w:szCs w:val="24"/>
          <w:lang w:val="es-MX"/>
        </w:rPr>
      </w:pPr>
      <w:r>
        <w:rPr>
          <w:rFonts w:ascii="Times New Roman" w:hAnsi="Times New Roman"/>
          <w:sz w:val="24"/>
          <w:szCs w:val="24"/>
          <w:lang w:val="es-MX"/>
        </w:rPr>
        <w:t xml:space="preserve">JEFA DE LA UNIDAD DE RECURSOS HUMANOS  </w:t>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b/>
          <w:b/>
          <w:sz w:val="24"/>
          <w:szCs w:val="24"/>
          <w:lang w:val="es-MX"/>
        </w:rPr>
      </w:pPr>
      <w:r>
        <w:rPr>
          <w:rFonts w:ascii="Times New Roman" w:hAnsi="Times New Roman"/>
          <w:b/>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b/>
          <w:b/>
          <w:sz w:val="24"/>
          <w:szCs w:val="24"/>
          <w:lang w:val="es-MX"/>
        </w:rPr>
      </w:pPr>
      <w:r>
        <w:rPr>
          <w:rFonts w:ascii="Times New Roman" w:hAnsi="Times New Roman"/>
          <w:b/>
          <w:sz w:val="24"/>
          <w:szCs w:val="24"/>
          <w:lang w:val="es-MX"/>
        </w:rPr>
        <w:t>MIGUEL LÓPEZ CEDEÑO</w:t>
      </w:r>
    </w:p>
    <w:p>
      <w:pPr>
        <w:pStyle w:val="NoSpacing"/>
        <w:jc w:val="center"/>
        <w:rPr>
          <w:rFonts w:ascii="Times New Roman" w:hAnsi="Times New Roman"/>
          <w:sz w:val="24"/>
          <w:szCs w:val="24"/>
          <w:lang w:val="es-MX"/>
        </w:rPr>
      </w:pPr>
      <w:r>
        <w:rPr>
          <w:rFonts w:ascii="Times New Roman" w:hAnsi="Times New Roman"/>
          <w:sz w:val="24"/>
          <w:szCs w:val="24"/>
          <w:lang w:val="es-MX"/>
        </w:rPr>
        <w:t>SUBDIRECTOR GENERAL DEL SERVICIO NACIONAL DE MIGRACIÓN</w:t>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jc w:val="center"/>
        <w:rPr>
          <w:rFonts w:ascii="Times New Roman" w:hAnsi="Times New Roman"/>
          <w:sz w:val="24"/>
          <w:szCs w:val="24"/>
          <w:lang w:val="es-MX"/>
        </w:rPr>
      </w:pPr>
      <w:r>
        <w:rPr>
          <w:rFonts w:ascii="Times New Roman" w:hAnsi="Times New Roman"/>
          <w:sz w:val="24"/>
          <w:szCs w:val="24"/>
          <w:lang w:val="es-MX"/>
        </w:rPr>
      </w:r>
    </w:p>
    <w:p>
      <w:pPr>
        <w:pStyle w:val="NoSpacing"/>
        <w:rPr>
          <w:rFonts w:ascii="Times New Roman" w:hAnsi="Times New Roman"/>
          <w:sz w:val="16"/>
          <w:szCs w:val="16"/>
          <w:lang w:val="es-MX"/>
        </w:rPr>
      </w:pPr>
      <w:r>
        <w:rPr>
          <w:rFonts w:ascii="Times New Roman" w:hAnsi="Times New Roman"/>
          <w:sz w:val="16"/>
          <w:szCs w:val="16"/>
          <w:lang w:val="es-MX"/>
        </w:rPr>
        <w:t>MTDN/MLC//NA/db</w:t>
      </w:r>
    </w:p>
    <w:p>
      <w:pPr>
        <w:pStyle w:val="Normal"/>
        <w:rPr>
          <w:lang w:val="es-MX"/>
        </w:rPr>
      </w:pPr>
      <w:r>
        <w:rPr>
          <w:lang w:val="es-MX"/>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widowControl/>
        <w:bidi w:val="0"/>
        <w:spacing w:lineRule="auto" w:line="276" w:before="0" w:after="200"/>
        <w:jc w:val="left"/>
        <w:rPr/>
      </w:pPr>
      <w:r>
        <w:rPr/>
      </w:r>
    </w:p>
    <w:sectPr>
      <w:type w:val="nextPage"/>
      <w:pgSz w:w="12240" w:h="2016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5968"/>
    <w:pPr>
      <w:widowControl/>
      <w:bidi w:val="0"/>
      <w:spacing w:lineRule="auto" w:line="276" w:before="0" w:after="200"/>
      <w:jc w:val="left"/>
    </w:pPr>
    <w:rPr>
      <w:rFonts w:ascii="Calibri" w:hAnsi="Calibri" w:eastAsia="Calibri" w:cs="Times New Roman" w:asciiTheme="minorHAnsi" w:eastAsiaTheme="minorHAnsi" w:hAnsiTheme="minorHAnsi"/>
      <w:color w:val="00000A"/>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685968"/>
    <w:pPr>
      <w:widowControl/>
      <w:bidi w:val="0"/>
      <w:spacing w:lineRule="auto" w:line="240" w:before="0" w:after="0"/>
      <w:jc w:val="left"/>
    </w:pPr>
    <w:rPr>
      <w:rFonts w:ascii="Calibri" w:hAnsi="Calibri" w:eastAsia="Calibri" w:cs="Times New Roman" w:asciiTheme="minorHAnsi" w:eastAsiaTheme="minorHAnsi" w:hAnsiTheme="minorHAnsi"/>
      <w:color w:val="00000A"/>
      <w:kern w:val="0"/>
      <w:sz w:val="22"/>
      <w:szCs w:val="22"/>
      <w:lang w:val="es-ES" w:eastAsia="en-US" w:bidi="ar-SA"/>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8596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LibreOffice/5.4.6.2$Linux_X86_64 LibreOffice_project/40m0$Build-2</Application>
  <Pages>2</Pages>
  <Words>579</Words>
  <Characters>3232</Characters>
  <CharactersWithSpaces>3792</CharactersWithSpaces>
  <Paragraphs>41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2018-08-01T13:21:00Z</dcterms:created>
  <dc:creator>Digna Margarita Barrios Perez</dc:creator>
  <dc:description/>
  <dc:language>es-VE</dc:language>
  <cp:lastModifiedBy/>
  <dcterms:modified xsi:type="dcterms:W3CDTF">2018-08-02T09:25:59Z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