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28.jpg" ContentType="image/jpeg"/>
  <Override PartName="/word/media/rId34.jpg" ContentType="image/jpeg"/>
  <Override PartName="/word/media/rId35.jpg" ContentType="image/jpeg"/>
  <Override PartName="/word/media/rId33.jpg" ContentType="image/jpe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metals the electric current is only due to electrons. In semiconductors the charge carriers may be either electrons or holes.</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[FIX] as follows:</w:t>
      </w:r>
    </w:p>
    <w:p>
      <w:pPr>
        <w:pStyle w:val="FigureWithCaption"/>
      </w:pPr>
      <w:r>
        <w:drawing>
          <wp:inline>
            <wp:extent cx="5334000" cy="3194011"/>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3194011"/>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are used to feed the bias current produced by a constant current generator [fix, see figure x]</w:t>
      </w:r>
    </w:p>
    <w:p>
      <w:pPr>
        <w:pStyle w:val="Compact"/>
        <w:numPr>
          <w:numId w:val="1002"/>
          <w:ilvl w:val="0"/>
        </w:numPr>
      </w:pPr>
      <w:r>
        <w:t xml:space="preserve">Contacts 7 and 5 are used to measured the voltage across the sample, to obtain a 4-wire (often called kelvin) resistance measure. The input is fed to a differential instrumentation amplifier (DA for short).</w:t>
      </w:r>
    </w:p>
    <w:p>
      <w:pPr>
        <w:pStyle w:val="Compact"/>
        <w:numPr>
          <w:numId w:val="1002"/>
          <w:ilvl w:val="0"/>
        </w:numPr>
      </w:pPr>
      <w:r>
        <w:t xml:space="preserve">Contacts 2-3 and 6 are the output of the Hall voltage and fed to the a second DA.</w:t>
      </w:r>
    </w:p>
    <w:p>
      <w:pPr>
        <w:pStyle w:val="FirstParagraph"/>
      </w:pPr>
      <w:r>
        <w:t xml:space="preserve">The numbering of the contact on the sample corresponds to the number of the pins in the rj45 connector of the sample assembly.</w:t>
      </w:r>
    </w:p>
    <w:p>
      <w:pPr>
        <w:pStyle w:val="BodyText"/>
      </w:pPr>
      <w:r>
        <w:t xml:space="preserve">The potentiometer P [fix] in figure 2 is used to adjust the balance of the Hall voltage, since the contacts 2 and 3 cannot be precisely positioned.</w:t>
      </w:r>
      <w:r>
        <w:t xml:space="preserve"> </w:t>
      </w:r>
      <w:r>
        <w:t xml:space="preserve">It must be adjusted to obtain</w:t>
      </w:r>
      <w:r>
        <w:t xml:space="preserve"> </w:t>
      </w:r>
      <m:oMath>
        <m:sSub>
          <m:e>
            <m:r>
              <m:rPr/>
              <m:t>V</m:t>
            </m:r>
          </m:e>
          <m:sub>
            <m:r>
              <m:rPr/>
              <m:t>H</m:t>
            </m:r>
          </m:sub>
        </m:sSub>
        <m:r>
          <m:rPr/>
          <m:t>=</m:t>
        </m:r>
        <m:r>
          <m:rPr/>
          <m:t>0</m:t>
        </m:r>
      </m:oMath>
      <w:r>
        <w:t xml:space="preserve"> </w:t>
      </w:r>
      <w:r>
        <w:t xml:space="preserve">when there is no applied magnetic field. Of course the presumed</w:t>
      </w:r>
      <w:r>
        <w:t xml:space="preserve"> </w:t>
      </w:r>
      <m:oMath>
        <m:sSub>
          <m:e>
            <m:r>
              <m:rPr/>
              <m:t>V</m:t>
            </m:r>
          </m:e>
          <m:sub>
            <m:r>
              <m:rPr/>
              <m:t>H</m:t>
            </m:r>
          </m:sub>
        </m:sSub>
        <m:r>
          <m:rPr/>
          <m:t>≠</m:t>
        </m:r>
        <m:r>
          <m:rPr/>
          <m:t>0</m:t>
        </m:r>
      </m:oMath>
      <w:r>
        <w:t xml:space="preserve"> </w:t>
      </w:r>
      <w:r>
        <w:t xml:space="preserve">we obtain if we do not adjust correctly P is not due to the magnetic field, but to the resistance of the sample itself.</w:t>
      </w:r>
    </w:p>
    <w:p>
      <w:pPr>
        <w:pStyle w:val="BodyText"/>
      </w:pPr>
      <w:r>
        <w:t xml:space="preserve">The two DAs have a gain</w:t>
      </w:r>
      <w:r>
        <w:t xml:space="preserve"> </w:t>
      </w:r>
      <m:oMath>
        <m:r>
          <m:rPr/>
          <m:t>G</m:t>
        </m:r>
      </m:oMath>
      <w:r>
        <w:t xml:space="preserve"> </w:t>
      </w:r>
      <w:r>
        <w:t xml:space="preserve">generally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t xml:space="preserve">, but it can vary according to instrument specifications, and they're powered from a</w:t>
      </w:r>
      <w:r>
        <w:t xml:space="preserve"> </w:t>
      </w:r>
      <m:oMath>
        <m:r>
          <m:rPr/>
          <m:t>±</m:t>
        </m:r>
        <m:r>
          <m:rPr/>
          <m:t>15</m:t>
        </m:r>
        <m:r>
          <m:rPr/>
          <m:t>V</m:t>
        </m:r>
      </m:oMath>
      <w:r>
        <w:t xml:space="preserve"> </w:t>
      </w:r>
      <w:r>
        <w:t xml:space="preserve">power supply.</w:t>
      </w:r>
    </w:p>
    <w:p>
      <w:pPr>
        <w:pStyle w:val="BodyText"/>
      </w:pPr>
      <w:r>
        <w:t xml:space="preserve">A PGA (Programmable Gain Amplifier) is chained to each of the two DAs, it's gain selectable from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using the front panel.</w:t>
      </w:r>
    </w:p>
    <w:p>
      <w:pPr>
        <w:pStyle w:val="BodyText"/>
      </w:pPr>
      <w:r>
        <w:t xml:space="preserve">The output voltages on the front panel are restrained by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(DAC) converter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2" w:name="hall-voltage-and-resistance-measurements-at-room-temperature"/>
      <w:bookmarkEnd w:id="32"/>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should be better adjusted using potetiometer P in figure 2.</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3).</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3"/>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4"/>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5"/>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BodyText"/>
      </w:pPr>
    </w:p>
    <w:p>
      <w:pPr>
        <w:pStyle w:val="Heading3"/>
      </w:pPr>
      <w:bookmarkStart w:id="36" w:name="measurements-at-constant-i-and-b-while-varying-the-temperature"/>
      <w:bookmarkEnd w:id="36"/>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7"/>
      </w:r>
      <w:r>
        <w:t xml:space="preserve"> </w:t>
      </w:r>
      <w:r>
        <w:t xml:space="preserve">integrated circuit. The output is vaguely proportional to the temperature, with a sensitivity of</w:t>
      </w:r>
      <w:r>
        <w:t xml:space="preserve"> </w:t>
      </w:r>
      <m:oMath>
        <m:r>
          <m:rPr/>
          <m:t>≈</m:t>
        </m:r>
        <m:r>
          <m:rPr/>
          <m:t>5</m:t>
        </m:r>
        <m:f>
          <m:fPr>
            <m:type m:val="bar"/>
          </m:fPr>
          <m:num>
            <m:r>
              <m:rPr/>
              <m:t>m</m:t>
            </m:r>
            <m:r>
              <m:rPr/>
              <m:t>V</m:t>
            </m:r>
          </m:num>
          <m:den>
            <m:r>
              <m:rPr/>
              <m:t>°</m:t>
            </m:r>
            <m:r>
              <m:rPr/>
              <m:t>K</m:t>
            </m:r>
          </m:den>
        </m:f>
      </m:oMath>
      <w:r>
        <w:t xml:space="preserve">. It is successively amplified by a non-inverting amplifier (not shown in picture [fix] ) to get</w:t>
      </w:r>
      <w:r>
        <w:t xml:space="preserve"> </w:t>
      </w:r>
      <m:oMath>
        <m:r>
          <m:rPr/>
          <m:t>≈</m:t>
        </m:r>
        <m:r>
          <m:rPr/>
          <m:t>10</m:t>
        </m:r>
        <m:f>
          <m:fPr>
            <m:type m:val="bar"/>
          </m:fPr>
          <m:num>
            <m:r>
              <m:rPr/>
              <m:t>m</m:t>
            </m:r>
            <m:r>
              <m:rPr/>
              <m:t>V</m:t>
            </m:r>
          </m:num>
          <m:den>
            <m:r>
              <m:rPr/>
              <m:t>°</m:t>
            </m:r>
            <m:r>
              <m:rPr/>
              <m:t>K</m:t>
            </m:r>
          </m:den>
        </m:f>
      </m:oMath>
      <w:r>
        <w:t xml:space="preserve"> </w:t>
      </w:r>
      <w:r>
        <w:t xml:space="preserve">with</w:t>
      </w:r>
      <w:r>
        <w:t xml:space="preserve"> </w:t>
      </w:r>
      <m:oMath>
        <m:r>
          <m:rPr/>
          <m:t>2.5</m:t>
        </m:r>
        <m:r>
          <m:rPr/>
          <m:t>V</m:t>
        </m:r>
        <m:r>
          <m:rPr/>
          <m:t>=</m:t>
        </m:r>
        <m:r>
          <m:rPr/>
          <m:t>273.2</m:t>
        </m:r>
        <m:r>
          <m:rPr/>
          <m:t>°</m:t>
        </m:r>
        <m:r>
          <m:rPr/>
          <m:t>K</m:t>
        </m:r>
        <m:r>
          <m:rPr/>
          <m:t>=</m:t>
        </m:r>
        <m:r>
          <m:rPr/>
          <m:t>0</m:t>
        </m:r>
        <m:r>
          <m:rPr/>
          <m:t>°</m:t>
        </m:r>
        <m:r>
          <m:rPr/>
          <m:t>C</m:t>
        </m:r>
      </m:oMath>
      <w:r>
        <w:t xml:space="preserve">. While the K type thermocouple is fairly linear a room temperature, it is not in the wide temperature range covered by the apparatus, as can be seen in figure 6.</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39"/>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6) of the thermocouple linearly extrapolating the following polynomial:w</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w:t>
      </w:r>
    </w:p>
    <w:p>
      <w:pPr>
        <w:pStyle w:val="BodyText"/>
      </w:pPr>
      <w:r>
        <w:t xml:space="preserve">In the following table</w:t>
      </w:r>
      <w:r>
        <w:rPr>
          <w:rStyle w:val="FootnoteReference"/>
        </w:rPr>
        <w:footnoteReference w:id="40"/>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2</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3</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4</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5</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w:r>
              <w:rPr>
                <w:b/>
              </w:rPr>
              <w:t xml:space="preserve">E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w:t>
      </w:r>
      <w:r>
        <w:rPr>
          <w:rStyle w:val="FootnoteReference"/>
        </w:rPr>
        <w:footnoteReference w:id="41"/>
      </w:r>
      <w:r>
        <w:t xml:space="preserve"> </w:t>
      </w:r>
      <w:r>
        <w:t xml:space="preserve">from the following equation:</w:t>
      </w:r>
      <w:r>
        <w:t xml:space="preserve"> </w:t>
      </w:r>
    </w:p>
    <w:p>
      <w:pPr>
        <w:pStyle w:val="BodyText"/>
      </w:pPr>
      <m:oMathPara>
        <m:oMathParaPr>
          <m:jc m:val="center"/>
        </m:oMathParaPr>
        <m:oMath>
          <m:r>
            <m:rPr/>
            <m:t>E</m:t>
          </m:r>
          <m:r>
            <m:rPr/>
            <m:t>=</m:t>
          </m:r>
          <m:f>
            <m:fPr>
              <m:type m:val="bar"/>
            </m:fPr>
            <m:num>
              <m:f>
                <m:fPr>
                  <m:type m:val="bar"/>
                </m:fPr>
                <m:num>
                  <m:r>
                    <m:rPr/>
                    <m:t>1</m:t>
                  </m:r>
                </m:num>
                <m:den>
                  <m:r>
                    <m:rPr/>
                    <m:t>2</m:t>
                  </m:r>
                </m:den>
              </m:f>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3"/>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f>
                    <m:fPr>
                      <m:type m:val="bar"/>
                    </m:fPr>
                    <m:num>
                      <m:r>
                        <m:rPr/>
                        <m:t>1</m:t>
                      </m:r>
                    </m:num>
                    <m:den>
                      <m:r>
                        <m:rPr/>
                        <m:t>2</m:t>
                      </m:r>
                    </m:den>
                  </m:f>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4" w:name="cooling-heating-procedure"/>
      <w:bookmarkEnd w:id="44"/>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5" w:name="typical-results"/>
      <w:bookmarkEnd w:id="45"/>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6" w:name="appendix-1-calculation-of-r_h-for-small-and-high-magnetic-field"/>
      <w:bookmarkEnd w:id="46"/>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7" w:name="appendix-2-temperature-dependence-of-e_g"/>
      <w:bookmarkEnd w:id="47"/>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8"/>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BodyText"/>
      </w:pPr>
      <w:r>
        <w:t xml:space="preserve">##Warnings</w:t>
      </w:r>
    </w:p>
    <w:p>
      <w:pPr>
        <w:pStyle w:val="BodyText"/>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FirstParagraph"/>
      </w:pPr>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49" w:name="authorship"/>
      <w:bookmarkEnd w:id="49"/>
      <w:r>
        <w:t xml:space="preserve">Authorship</w:t>
      </w:r>
    </w:p>
    <w:p>
      <w:pPr>
        <w:pStyle w:val="FirstParagraph"/>
      </w:pPr>
      <w:r>
        <w:t xml:space="preserve">This Handbook was originally written by Giacomo Torzo of</w:t>
      </w:r>
      <w:r>
        <w:t xml:space="preserve"> </w:t>
      </w:r>
      <w:hyperlink r:id="rId50">
        <w:r>
          <w:rPr>
            <w:rStyle w:val="Hyperlink"/>
          </w:rPr>
          <w:t xml:space="preserve">Labtrek</w:t>
        </w:r>
      </w:hyperlink>
    </w:p>
    <w:p>
      <w:pPr>
        <w:pStyle w:val="BodyText"/>
      </w:pPr>
      <w:r>
        <w:t xml:space="preserve">Integrations and corrections by Davide Bortolami of</w:t>
      </w:r>
      <w:r>
        <w:t xml:space="preserve"> </w:t>
      </w:r>
      <w:hyperlink r:id="rId51">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7">
    <w:p>
      <w:pPr>
        <w:pStyle w:val="FootnoteText"/>
      </w:pPr>
      <w:r>
        <w:rPr>
          <w:rStyle w:val="FootnoteReference"/>
        </w:rPr>
        <w:footnoteRef/>
      </w:r>
      <w:r>
        <w:t xml:space="preserve"> </w:t>
      </w:r>
      <w:hyperlink r:id="rId38">
        <w:r>
          <w:rPr>
            <w:rStyle w:val="Hyperlink"/>
          </w:rPr>
          <w:t xml:space="preserve">AD8495 datasheet, Analog Semiconductors</w:t>
        </w:r>
      </w:hyperlink>
    </w:p>
  </w:footnote>
  <w:footnote w:id="40">
    <w:p>
      <w:pPr>
        <w:pStyle w:val="FootnoteText"/>
      </w:pPr>
      <w:r>
        <w:rPr>
          <w:rStyle w:val="FootnoteReference"/>
        </w:rPr>
        <w:footnoteRef/>
      </w:r>
      <w:r>
        <w:t xml:space="preserve"> </w:t>
      </w:r>
      <w:r>
        <w:t xml:space="preserve">NIST t-90 tables for K type thermocouples, http://srdata.nist.gov/its90/download/type_k.tab</w:t>
      </w:r>
    </w:p>
  </w:footnote>
  <w:footnote w:id="41">
    <w:p>
      <w:pPr>
        <w:pStyle w:val="FootnoteText"/>
      </w:pPr>
      <w:r>
        <w:rPr>
          <w:rStyle w:val="FootnoteReference"/>
        </w:rPr>
        <w:footnoteRef/>
      </w:r>
      <w:r>
        <w:t xml:space="preserve"> </w:t>
      </w:r>
      <w:hyperlink r:id="rId42">
        <w:r>
          <w:rPr>
            <w:rStyle w:val="Hyperlink"/>
          </w:rPr>
          <w:t xml:space="preserve">AN-1087, Analog Semiconductors</w:t>
        </w:r>
      </w:hyperlink>
      <w:r>
        <w:t xml:space="preserve"> </w:t>
      </w:r>
      <w:r>
        <w:t xml:space="preserve"> </w:t>
      </w:r>
    </w:p>
  </w:footnote>
  <w:footnote w:id="43">
    <w:p>
      <w:pPr>
        <w:pStyle w:val="FootnoteText"/>
      </w:pPr>
      <w:r>
        <w:rPr>
          <w:rStyle w:val="FootnoteReference"/>
        </w:rPr>
        <w:footnoteRef/>
      </w:r>
      <w:r>
        <w:t xml:space="preserve"> </w:t>
      </w:r>
      <w:hyperlink r:id="rId42">
        <w:r>
          <w:rPr>
            <w:rStyle w:val="Hyperlink"/>
          </w:rPr>
          <w:t xml:space="preserve">AN-1087, Analog Semiconductors</w:t>
        </w:r>
      </w:hyperlink>
      <w:r>
        <w:t xml:space="preserve"> </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7d98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e3ea2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a0d2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51" Target="http://fermiumlabs.com" TargetMode="External" /><Relationship Type="http://schemas.openxmlformats.org/officeDocument/2006/relationships/hyperlink" Id="rId50" Target="http://labtrek.it" TargetMode="External" /><Relationship Type="http://schemas.openxmlformats.org/officeDocument/2006/relationships/hyperlink" Id="rId38" Target="http://www.analog.com/en/products/amplifiers/specialty-amplifiers/thermocouple-interface-amplifiers/AD8495.html" TargetMode="External" /><Relationship Type="http://schemas.openxmlformats.org/officeDocument/2006/relationships/hyperlink" Id="rId42"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51" Target="http://fermiumlabs.com" TargetMode="External" /><Relationship Type="http://schemas.openxmlformats.org/officeDocument/2006/relationships/hyperlink" Id="rId50" Target="http://labtrek.it" TargetMode="External" /><Relationship Type="http://schemas.openxmlformats.org/officeDocument/2006/relationships/hyperlink" Id="rId38" Target="http://www.analog.com/en/products/amplifiers/specialty-amplifiers/thermocouple-interface-amplifiers/AD8495.html" TargetMode="External" /><Relationship Type="http://schemas.openxmlformats.org/officeDocument/2006/relationships/hyperlink" Id="rId42"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