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fe721d739fad6896453549aa63dd93a5101f1d"/>
    <w:p>
      <w:pPr>
        <w:pStyle w:val="Heading1"/>
      </w:pPr>
      <w:r>
        <w:t xml:space="preserve">5 Somatic Practices for Immediate Anxiety Relief</w:t>
      </w:r>
    </w:p>
    <w:bookmarkStart w:id="20" w:name="X0a7aa6715c6e9d3ffd2616a479dbf50825c1c0e"/>
    <w:p>
      <w:pPr>
        <w:pStyle w:val="Heading2"/>
      </w:pPr>
      <w:r>
        <w:t xml:space="preserve">A Science-Based Guide to Regulating Your Nervous System</w:t>
      </w:r>
    </w:p>
    <w:p>
      <w:r>
        <w:pict>
          <v:rect style="width:0;height:1.5pt" o:hralign="center" o:hrstd="t" o:hr="t"/>
        </w:pict>
      </w:r>
    </w:p>
    <w:p>
      <w:pPr>
        <w:pStyle w:val="FirstParagraph"/>
      </w:pPr>
      <w:r>
        <w:rPr>
          <w:bCs/>
          <w:b/>
        </w:rPr>
        <w:t xml:space="preserve">Fern &amp; Feather Wellness Center</w:t>
      </w:r>
      <w:r>
        <w:t xml:space="preserve"> </w:t>
      </w:r>
      <w:r>
        <w:rPr>
          <w:iCs/>
          <w:i/>
        </w:rPr>
        <w:t xml:space="preserve">Where Biology Meets Being Human</w:t>
      </w:r>
    </w:p>
    <w:p>
      <w:r>
        <w:pict>
          <v:rect style="width:0;height:1.5pt" o:hralign="center" o:hrstd="t" o:hr="t"/>
        </w:pict>
      </w:r>
    </w:p>
    <w:bookmarkEnd w:id="20"/>
    <w:bookmarkStart w:id="21" w:name="introduction-why-your-body-holds-the-key"/>
    <w:p>
      <w:pPr>
        <w:pStyle w:val="Heading2"/>
      </w:pPr>
      <w:r>
        <w:t xml:space="preserve">Introduction: Why Your Body Holds the Key</w:t>
      </w:r>
    </w:p>
    <w:p>
      <w:pPr>
        <w:pStyle w:val="FirstParagraph"/>
      </w:pPr>
      <w:r>
        <w:t xml:space="preserve">Anxiety isn’t just</w:t>
      </w:r>
      <w:r>
        <w:t xml:space="preserve"> </w:t>
      </w:r>
      <w:r>
        <w:t xml:space="preserve">“</w:t>
      </w:r>
      <w:r>
        <w:t xml:space="preserve">in your head.</w:t>
      </w:r>
      <w:r>
        <w:t xml:space="preserve">”</w:t>
      </w:r>
      <w:r>
        <w:t xml:space="preserve"> </w:t>
      </w:r>
      <w:r>
        <w:t xml:space="preserve">It’s a full-body experience orchestrated by your autonomic nervous system—the branch of your nervous system that operates largely outside conscious control (Porges, 2011). When you feel anxious, your body is responding to perceived threat through ancient neural pathways designed for survival, not modern stressors.</w:t>
      </w:r>
    </w:p>
    <w:p>
      <w:pPr>
        <w:pStyle w:val="BodyText"/>
      </w:pPr>
      <w:r>
        <w:t xml:space="preserve">The good news? You can work directly with these physiological mechanisms. Somatic approaches—interventions that engage the body—have demonstrated efficacy in reducing anxiety symptoms through a variety of mechanisms, including vagal regulation, interoceptive awareness, and autonomic recalibration (Payne et al., 2015).</w:t>
      </w:r>
    </w:p>
    <w:p>
      <w:pPr>
        <w:pStyle w:val="BodyText"/>
      </w:pPr>
      <w:r>
        <w:t xml:space="preserve">This guide presents five evidence-based somatic practices you can use anywhere. Each technique is grounded in peer-reviewed research and designed for immediate implementation during acute anxiety.</w:t>
      </w:r>
    </w:p>
    <w:p>
      <w:r>
        <w:pict>
          <v:rect style="width:0;height:1.5pt" o:hralign="center" o:hrstd="t" o:hr="t"/>
        </w:pict>
      </w:r>
    </w:p>
    <w:bookmarkEnd w:id="21"/>
    <w:bookmarkStart w:id="22" w:name="the-science-in-brief"/>
    <w:p>
      <w:pPr>
        <w:pStyle w:val="Heading2"/>
      </w:pPr>
      <w:r>
        <w:t xml:space="preserve">The Science in Brief</w:t>
      </w:r>
    </w:p>
    <w:p>
      <w:pPr>
        <w:pStyle w:val="FirstParagraph"/>
      </w:pPr>
      <w:r>
        <w:t xml:space="preserve">Your nervous system has two primary branches relevant to anxiety:</w:t>
      </w:r>
    </w:p>
    <w:p>
      <w:pPr>
        <w:pStyle w:val="BodyText"/>
      </w:pPr>
      <w:r>
        <w:rPr>
          <w:bCs/>
          <w:b/>
        </w:rPr>
        <w:t xml:space="preserve">The sympathetic nervous system</w:t>
      </w:r>
      <w:r>
        <w:t xml:space="preserve"> </w:t>
      </w:r>
      <w:r>
        <w:t xml:space="preserve">activates your fight-or-flight response, releasing cortisol and adrenaline, increasing heart rate, and preparing your body for action (Thayer &amp; Lane, 2009).</w:t>
      </w:r>
    </w:p>
    <w:p>
      <w:pPr>
        <w:pStyle w:val="BodyText"/>
      </w:pPr>
      <w:r>
        <w:rPr>
          <w:bCs/>
          <w:b/>
        </w:rPr>
        <w:t xml:space="preserve">The parasympathetic nervous system</w:t>
      </w:r>
      <w:r>
        <w:t xml:space="preserve">, mediated largely through the vagus nerve, promotes rest, digestion, and recovery. The vagus nerve’s influence on emotional regulation is so significant that Porges (2007) developed polyvagal theory to describe its central role in social connection and threat response.</w:t>
      </w:r>
    </w:p>
    <w:p>
      <w:pPr>
        <w:pStyle w:val="BodyText"/>
      </w:pPr>
      <w:r>
        <w:t xml:space="preserve">When anxiety hits, sympathetic activation dominates. These five practices work through various pathways to restore parasympathetic balance.</w:t>
      </w:r>
    </w:p>
    <w:p>
      <w:r>
        <w:pict>
          <v:rect style="width:0;height:1.5pt" o:hralign="center" o:hrstd="t" o:hr="t"/>
        </w:pict>
      </w:r>
    </w:p>
    <w:bookmarkEnd w:id="22"/>
    <w:bookmarkStart w:id="27" w:name="X0a206e5846f147cb1a7317bbdcd6a3895e8cd20"/>
    <w:p>
      <w:pPr>
        <w:pStyle w:val="Heading2"/>
      </w:pPr>
      <w:r>
        <w:t xml:space="preserve">Practice 1: Resonance Breathing (Vagus Nerve Reset)</w:t>
      </w:r>
    </w:p>
    <w:bookmarkStart w:id="23" w:name="the-science"/>
    <w:p>
      <w:pPr>
        <w:pStyle w:val="Heading3"/>
      </w:pPr>
      <w:r>
        <w:t xml:space="preserve">The Science</w:t>
      </w:r>
    </w:p>
    <w:p>
      <w:pPr>
        <w:pStyle w:val="FirstParagraph"/>
      </w:pPr>
      <w:r>
        <w:t xml:space="preserve">Slow, diaphragmatic breathing at approximately 6 breaths per minute (inhale 5 seconds, exhale 5 seconds) maximizes respiratory sinus arrhythmia (RSA)—a marker of vagal tone and parasympathetic activity (Streeter et al., 2012). This</w:t>
      </w:r>
      <w:r>
        <w:t xml:space="preserve"> </w:t>
      </w:r>
      <w:r>
        <w:t xml:space="preserve">“</w:t>
      </w:r>
      <w:r>
        <w:t xml:space="preserve">resonance frequency</w:t>
      </w:r>
      <w:r>
        <w:t xml:space="preserve">”</w:t>
      </w:r>
      <w:r>
        <w:t xml:space="preserve"> </w:t>
      </w:r>
      <w:r>
        <w:t xml:space="preserve">breathing has been shown to reduce anxiety and improve heart rate variability in clinical populations (Zaccaro et al., 2018).</w:t>
      </w:r>
    </w:p>
    <w:bookmarkEnd w:id="23"/>
    <w:bookmarkStart w:id="24" w:name="how-to-practice"/>
    <w:p>
      <w:pPr>
        <w:pStyle w:val="Heading3"/>
      </w:pPr>
      <w:r>
        <w:t xml:space="preserve">How to Practice</w:t>
      </w:r>
    </w:p>
    <w:p>
      <w:pPr>
        <w:numPr>
          <w:ilvl w:val="0"/>
          <w:numId w:val="1001"/>
        </w:numPr>
        <w:pStyle w:val="Compact"/>
      </w:pPr>
      <w:r>
        <w:t xml:space="preserve">Find a comfortable seated or lying position</w:t>
      </w:r>
    </w:p>
    <w:p>
      <w:pPr>
        <w:numPr>
          <w:ilvl w:val="0"/>
          <w:numId w:val="1001"/>
        </w:numPr>
        <w:pStyle w:val="Compact"/>
      </w:pPr>
      <w:r>
        <w:t xml:space="preserve">Place one hand on your chest and one on your belly</w:t>
      </w:r>
    </w:p>
    <w:p>
      <w:pPr>
        <w:numPr>
          <w:ilvl w:val="0"/>
          <w:numId w:val="1001"/>
        </w:numPr>
        <w:pStyle w:val="Compact"/>
      </w:pPr>
      <w:r>
        <w:t xml:space="preserve">Inhale through your nose for 5 seconds, feeling your belly expand</w:t>
      </w:r>
    </w:p>
    <w:p>
      <w:pPr>
        <w:numPr>
          <w:ilvl w:val="0"/>
          <w:numId w:val="1001"/>
        </w:numPr>
        <w:pStyle w:val="Compact"/>
      </w:pPr>
      <w:r>
        <w:t xml:space="preserve">Exhale through your nose for 5 seconds</w:t>
      </w:r>
    </w:p>
    <w:p>
      <w:pPr>
        <w:numPr>
          <w:ilvl w:val="0"/>
          <w:numId w:val="1001"/>
        </w:numPr>
        <w:pStyle w:val="Compact"/>
      </w:pPr>
      <w:r>
        <w:t xml:space="preserve">Continue for 3-5 minutes</w:t>
      </w:r>
    </w:p>
    <w:p>
      <w:pPr>
        <w:numPr>
          <w:ilvl w:val="0"/>
          <w:numId w:val="1001"/>
        </w:numPr>
        <w:pStyle w:val="Compact"/>
      </w:pPr>
      <w:r>
        <w:t xml:space="preserve">If 5 seconds feels too long, start with 4 seconds and work up</w:t>
      </w:r>
    </w:p>
    <w:bookmarkEnd w:id="24"/>
    <w:bookmarkStart w:id="25" w:name="why-it-works"/>
    <w:p>
      <w:pPr>
        <w:pStyle w:val="Heading3"/>
      </w:pPr>
      <w:r>
        <w:t xml:space="preserve">Why It Works</w:t>
      </w:r>
    </w:p>
    <w:p>
      <w:pPr>
        <w:pStyle w:val="FirstParagraph"/>
      </w:pPr>
      <w:r>
        <w:t xml:space="preserve">Resonance breathing stimulates the vagus nerve through pressure receptors in the lungs and heart. Increased vagal tone correlates with better emotional regulation and reduced anxiety (Kok &amp; Fredrickson, 2010).</w:t>
      </w:r>
    </w:p>
    <w:bookmarkEnd w:id="25"/>
    <w:bookmarkStart w:id="26" w:name="when-to-use"/>
    <w:p>
      <w:pPr>
        <w:pStyle w:val="Heading3"/>
      </w:pPr>
      <w:r>
        <w:t xml:space="preserve">When to Use</w:t>
      </w:r>
    </w:p>
    <w:p>
      <w:pPr>
        <w:numPr>
          <w:ilvl w:val="0"/>
          <w:numId w:val="1002"/>
        </w:numPr>
        <w:pStyle w:val="Compact"/>
      </w:pPr>
      <w:r>
        <w:t xml:space="preserve">Upon waking with morning anxiety</w:t>
      </w:r>
    </w:p>
    <w:p>
      <w:pPr>
        <w:numPr>
          <w:ilvl w:val="0"/>
          <w:numId w:val="1002"/>
        </w:numPr>
        <w:pStyle w:val="Compact"/>
      </w:pPr>
      <w:r>
        <w:t xml:space="preserve">Before entering a stressful situation</w:t>
      </w:r>
    </w:p>
    <w:p>
      <w:pPr>
        <w:numPr>
          <w:ilvl w:val="0"/>
          <w:numId w:val="1002"/>
        </w:numPr>
        <w:pStyle w:val="Compact"/>
      </w:pPr>
      <w:r>
        <w:t xml:space="preserve">When you notice your heart racing</w:t>
      </w:r>
    </w:p>
    <w:p>
      <w:pPr>
        <w:numPr>
          <w:ilvl w:val="0"/>
          <w:numId w:val="1002"/>
        </w:numPr>
        <w:pStyle w:val="Compact"/>
      </w:pPr>
      <w:r>
        <w:t xml:space="preserve">As a daily practice to build vagal tone</w:t>
      </w:r>
    </w:p>
    <w:p>
      <w:r>
        <w:pict>
          <v:rect style="width:0;height:1.5pt" o:hralign="center" o:hrstd="t" o:hr="t"/>
        </w:pict>
      </w:r>
    </w:p>
    <w:bookmarkEnd w:id="26"/>
    <w:bookmarkEnd w:id="27"/>
    <w:bookmarkStart w:id="32" w:name="practice-2-progressive-muscle-release"/>
    <w:p>
      <w:pPr>
        <w:pStyle w:val="Heading2"/>
      </w:pPr>
      <w:r>
        <w:t xml:space="preserve">Practice 2: Progressive Muscle Release</w:t>
      </w:r>
    </w:p>
    <w:bookmarkStart w:id="28" w:name="the-science-1"/>
    <w:p>
      <w:pPr>
        <w:pStyle w:val="Heading3"/>
      </w:pPr>
      <w:r>
        <w:t xml:space="preserve">The Science</w:t>
      </w:r>
    </w:p>
    <w:p>
      <w:pPr>
        <w:pStyle w:val="FirstParagraph"/>
      </w:pPr>
      <w:r>
        <w:t xml:space="preserve">Progressive muscle relaxation (PMR), developed by Edmund Jacobson in the 1920s, involves systematically tensing and releasing muscle groups. Research demonstrates PMR’s efficacy in reducing anxiety, with effect sizes comparable to cognitive-behavioral interventions in some studies (Conrad &amp; Roth, 2007). The mechanism involves interrupting the muscle tension-feedback loop that maintains sympathetic arousal (Benson et al., 1975).</w:t>
      </w:r>
    </w:p>
    <w:bookmarkEnd w:id="28"/>
    <w:bookmarkStart w:id="29" w:name="how-to-practice-1"/>
    <w:p>
      <w:pPr>
        <w:pStyle w:val="Heading3"/>
      </w:pPr>
      <w:r>
        <w:t xml:space="preserve">How to Practice</w:t>
      </w:r>
    </w:p>
    <w:p>
      <w:pPr>
        <w:numPr>
          <w:ilvl w:val="0"/>
          <w:numId w:val="1003"/>
        </w:numPr>
        <w:pStyle w:val="Compact"/>
      </w:pPr>
      <w:r>
        <w:t xml:space="preserve">Start with your feet—curl your toes tightly for 5 seconds</w:t>
      </w:r>
    </w:p>
    <w:p>
      <w:pPr>
        <w:numPr>
          <w:ilvl w:val="0"/>
          <w:numId w:val="1003"/>
        </w:numPr>
        <w:pStyle w:val="Compact"/>
      </w:pPr>
      <w:r>
        <w:t xml:space="preserve">Release suddenly and notice the sensation of relaxation for 10 seconds</w:t>
      </w:r>
    </w:p>
    <w:p>
      <w:pPr>
        <w:numPr>
          <w:ilvl w:val="0"/>
          <w:numId w:val="1003"/>
        </w:numPr>
        <w:pStyle w:val="Compact"/>
      </w:pPr>
      <w:r>
        <w:t xml:space="preserve">Move to your calves—point your toes toward your face, hold 5 seconds, release</w:t>
      </w:r>
    </w:p>
    <w:p>
      <w:pPr>
        <w:numPr>
          <w:ilvl w:val="0"/>
          <w:numId w:val="1003"/>
        </w:numPr>
        <w:pStyle w:val="Compact"/>
      </w:pPr>
      <w:r>
        <w:t xml:space="preserve">Continue upward through thighs, glutes, stomach, chest, hands, arms, shoulders, face</w:t>
      </w:r>
    </w:p>
    <w:p>
      <w:pPr>
        <w:numPr>
          <w:ilvl w:val="0"/>
          <w:numId w:val="1003"/>
        </w:numPr>
        <w:pStyle w:val="Compact"/>
      </w:pPr>
      <w:r>
        <w:t xml:space="preserve">Spend extra time on areas where you habitually hold tension</w:t>
      </w:r>
    </w:p>
    <w:bookmarkEnd w:id="29"/>
    <w:bookmarkStart w:id="30" w:name="why-it-works-1"/>
    <w:p>
      <w:pPr>
        <w:pStyle w:val="Heading3"/>
      </w:pPr>
      <w:r>
        <w:t xml:space="preserve">Why It Works</w:t>
      </w:r>
    </w:p>
    <w:p>
      <w:pPr>
        <w:pStyle w:val="FirstParagraph"/>
      </w:pPr>
      <w:r>
        <w:t xml:space="preserve">Muscle tension signals danger to the brain. By deliberately releasing this tension, you’re sending safety signals through proprioceptive pathways to the amygdala, the brain’s threat detection center (Damasio, 2000).</w:t>
      </w:r>
    </w:p>
    <w:bookmarkEnd w:id="30"/>
    <w:bookmarkStart w:id="31" w:name="when-to-use-1"/>
    <w:p>
      <w:pPr>
        <w:pStyle w:val="Heading3"/>
      </w:pPr>
      <w:r>
        <w:t xml:space="preserve">When to Use</w:t>
      </w:r>
    </w:p>
    <w:p>
      <w:pPr>
        <w:numPr>
          <w:ilvl w:val="0"/>
          <w:numId w:val="1004"/>
        </w:numPr>
        <w:pStyle w:val="Compact"/>
      </w:pPr>
      <w:r>
        <w:t xml:space="preserve">Bedtime to release accumulated physical tension</w:t>
      </w:r>
    </w:p>
    <w:p>
      <w:pPr>
        <w:numPr>
          <w:ilvl w:val="0"/>
          <w:numId w:val="1004"/>
        </w:numPr>
        <w:pStyle w:val="Compact"/>
      </w:pPr>
      <w:r>
        <w:t xml:space="preserve">After work transitions</w:t>
      </w:r>
    </w:p>
    <w:p>
      <w:pPr>
        <w:numPr>
          <w:ilvl w:val="0"/>
          <w:numId w:val="1004"/>
        </w:numPr>
        <w:pStyle w:val="Compact"/>
      </w:pPr>
      <w:r>
        <w:t xml:space="preserve">During panic when your body feels frozen</w:t>
      </w:r>
    </w:p>
    <w:p>
      <w:pPr>
        <w:numPr>
          <w:ilvl w:val="0"/>
          <w:numId w:val="1004"/>
        </w:numPr>
        <w:pStyle w:val="Compact"/>
      </w:pPr>
      <w:r>
        <w:t xml:space="preserve">When you notice jaw clenching or shoulder tightness</w:t>
      </w:r>
    </w:p>
    <w:p>
      <w:r>
        <w:pict>
          <v:rect style="width:0;height:1.5pt" o:hralign="center" o:hrstd="t" o:hr="t"/>
        </w:pict>
      </w:r>
    </w:p>
    <w:bookmarkEnd w:id="31"/>
    <w:bookmarkEnd w:id="32"/>
    <w:bookmarkStart w:id="37" w:name="X36e7eb0c9eec2eed82aa496a473eba86fc14423"/>
    <w:p>
      <w:pPr>
        <w:pStyle w:val="Heading2"/>
      </w:pPr>
      <w:r>
        <w:t xml:space="preserve">Practice 3: Orienting and Sensory Grounding</w:t>
      </w:r>
    </w:p>
    <w:bookmarkStart w:id="33" w:name="the-science-2"/>
    <w:p>
      <w:pPr>
        <w:pStyle w:val="Heading3"/>
      </w:pPr>
      <w:r>
        <w:t xml:space="preserve">The Science</w:t>
      </w:r>
    </w:p>
    <w:p>
      <w:pPr>
        <w:pStyle w:val="FirstParagraph"/>
      </w:pPr>
      <w:r>
        <w:t xml:space="preserve">Somatic Experiencing, developed by Peter Levine, emphasizes</w:t>
      </w:r>
      <w:r>
        <w:t xml:space="preserve"> </w:t>
      </w:r>
      <w:r>
        <w:t xml:space="preserve">“</w:t>
      </w:r>
      <w:r>
        <w:t xml:space="preserve">orienting</w:t>
      </w:r>
      <w:r>
        <w:t xml:space="preserve">”</w:t>
      </w:r>
      <w:r>
        <w:t xml:space="preserve">—the natural tendency to scan our environment for safety when aroused. This practice engages the orienting response, which has been shown to regulate autonomic arousal (Lanius et al., 2014). Additionally, brief mindfulness practices targeting sensory awareness activate prefrontal regulatory regions while deactivating the amygdala (Goldin &amp; Gross, 2010).</w:t>
      </w:r>
    </w:p>
    <w:bookmarkEnd w:id="33"/>
    <w:bookmarkStart w:id="34" w:name="how-to-practice-2"/>
    <w:p>
      <w:pPr>
        <w:pStyle w:val="Heading3"/>
      </w:pPr>
      <w:r>
        <w:t xml:space="preserve">How to Practice</w:t>
      </w:r>
    </w:p>
    <w:p>
      <w:pPr>
        <w:numPr>
          <w:ilvl w:val="0"/>
          <w:numId w:val="1005"/>
        </w:numPr>
        <w:pStyle w:val="Compact"/>
      </w:pPr>
      <w:r>
        <w:t xml:space="preserve">When anxiety rises, pause and let your eyes move slowly around the room</w:t>
      </w:r>
    </w:p>
    <w:p>
      <w:pPr>
        <w:numPr>
          <w:ilvl w:val="0"/>
          <w:numId w:val="1005"/>
        </w:numPr>
        <w:pStyle w:val="Compact"/>
      </w:pPr>
      <w:r>
        <w:t xml:space="preserve">Allow your gaze to land on objects that catch your interest</w:t>
      </w:r>
    </w:p>
    <w:p>
      <w:pPr>
        <w:numPr>
          <w:ilvl w:val="0"/>
          <w:numId w:val="1005"/>
        </w:numPr>
        <w:pStyle w:val="Compact"/>
      </w:pPr>
      <w:r>
        <w:t xml:space="preserve">Name 5 things you can see (out loud or silently)</w:t>
      </w:r>
    </w:p>
    <w:p>
      <w:pPr>
        <w:numPr>
          <w:ilvl w:val="0"/>
          <w:numId w:val="1005"/>
        </w:numPr>
        <w:pStyle w:val="Compact"/>
      </w:pPr>
      <w:r>
        <w:t xml:space="preserve">Name 4 things you can hear</w:t>
      </w:r>
    </w:p>
    <w:p>
      <w:pPr>
        <w:numPr>
          <w:ilvl w:val="0"/>
          <w:numId w:val="1005"/>
        </w:numPr>
        <w:pStyle w:val="Compact"/>
      </w:pPr>
      <w:r>
        <w:t xml:space="preserve">Name 3 things you can feel (chair against back, feet on floor, etc.)</w:t>
      </w:r>
    </w:p>
    <w:p>
      <w:pPr>
        <w:numPr>
          <w:ilvl w:val="0"/>
          <w:numId w:val="1005"/>
        </w:numPr>
        <w:pStyle w:val="Compact"/>
      </w:pPr>
      <w:r>
        <w:t xml:space="preserve">Name 2 things you can smell</w:t>
      </w:r>
    </w:p>
    <w:p>
      <w:pPr>
        <w:numPr>
          <w:ilvl w:val="0"/>
          <w:numId w:val="1005"/>
        </w:numPr>
        <w:pStyle w:val="Compact"/>
      </w:pPr>
      <w:r>
        <w:t xml:space="preserve">Name 1 thing you can taste</w:t>
      </w:r>
    </w:p>
    <w:bookmarkEnd w:id="34"/>
    <w:bookmarkStart w:id="35" w:name="why-it-works-2"/>
    <w:p>
      <w:pPr>
        <w:pStyle w:val="Heading3"/>
      </w:pPr>
      <w:r>
        <w:t xml:space="preserve">Why It Works</w:t>
      </w:r>
    </w:p>
    <w:p>
      <w:pPr>
        <w:pStyle w:val="FirstParagraph"/>
      </w:pPr>
      <w:r>
        <w:t xml:space="preserve">The orienting response shifts blood flow from defensive circuits to exploratory, ventral vagal pathways associated with safety and social engagement (Porges, 2011). Sensory naming engages language centers, which can dampen emotional reactivity (Lieberman et al., 2007).</w:t>
      </w:r>
    </w:p>
    <w:bookmarkEnd w:id="35"/>
    <w:bookmarkStart w:id="36" w:name="when-to-use-2"/>
    <w:p>
      <w:pPr>
        <w:pStyle w:val="Heading3"/>
      </w:pPr>
      <w:r>
        <w:t xml:space="preserve">When to Use</w:t>
      </w:r>
    </w:p>
    <w:p>
      <w:pPr>
        <w:numPr>
          <w:ilvl w:val="0"/>
          <w:numId w:val="1006"/>
        </w:numPr>
        <w:pStyle w:val="Compact"/>
      </w:pPr>
      <w:r>
        <w:t xml:space="preserve">During dissociation or derealization</w:t>
      </w:r>
    </w:p>
    <w:p>
      <w:pPr>
        <w:numPr>
          <w:ilvl w:val="0"/>
          <w:numId w:val="1006"/>
        </w:numPr>
        <w:pStyle w:val="Compact"/>
      </w:pPr>
      <w:r>
        <w:t xml:space="preserve">When feeling</w:t>
      </w:r>
      <w:r>
        <w:t xml:space="preserve"> </w:t>
      </w:r>
      <w:r>
        <w:t xml:space="preserve">“</w:t>
      </w:r>
      <w:r>
        <w:t xml:space="preserve">stuck</w:t>
      </w:r>
      <w:r>
        <w:t xml:space="preserve">”</w:t>
      </w:r>
      <w:r>
        <w:t xml:space="preserve"> </w:t>
      </w:r>
      <w:r>
        <w:t xml:space="preserve">in anxiety</w:t>
      </w:r>
    </w:p>
    <w:p>
      <w:pPr>
        <w:numPr>
          <w:ilvl w:val="0"/>
          <w:numId w:val="1006"/>
        </w:numPr>
        <w:pStyle w:val="Compact"/>
      </w:pPr>
      <w:r>
        <w:t xml:space="preserve">In crowded or overwhelming environments</w:t>
      </w:r>
    </w:p>
    <w:p>
      <w:pPr>
        <w:numPr>
          <w:ilvl w:val="0"/>
          <w:numId w:val="1006"/>
        </w:numPr>
        <w:pStyle w:val="Compact"/>
      </w:pPr>
      <w:r>
        <w:t xml:space="preserve">When you feel disconnected from your body</w:t>
      </w:r>
    </w:p>
    <w:p>
      <w:r>
        <w:pict>
          <v:rect style="width:0;height:1.5pt" o:hralign="center" o:hrstd="t" o:hr="t"/>
        </w:pict>
      </w:r>
    </w:p>
    <w:bookmarkEnd w:id="36"/>
    <w:bookmarkEnd w:id="37"/>
    <w:bookmarkStart w:id="42" w:name="practice-4-self-havening-touch"/>
    <w:p>
      <w:pPr>
        <w:pStyle w:val="Heading2"/>
      </w:pPr>
      <w:r>
        <w:t xml:space="preserve">Practice 4: Self-Havening Touch</w:t>
      </w:r>
    </w:p>
    <w:bookmarkStart w:id="38" w:name="the-science-3"/>
    <w:p>
      <w:pPr>
        <w:pStyle w:val="Heading3"/>
      </w:pPr>
      <w:r>
        <w:t xml:space="preserve">The Science</w:t>
      </w:r>
    </w:p>
    <w:p>
      <w:pPr>
        <w:pStyle w:val="FirstParagraph"/>
      </w:pPr>
      <w:r>
        <w:t xml:space="preserve">Havening Techniques, developed by Ruden (2005), utilizes gentle self-touch combined with distraction to depotentiate traumatic memories. The mechanism involves delta wave production through slow, soothing touch, which inhibits amygdala activation. Research supports self-havening’s effectiveness in reducing anxiety and distress (Thandi et al., 2016). Additionally, self-touch releases oxytocin, which reduces cortisol and promotes parasympathetic activity (Uvnäs-Moberg et al., 2015).</w:t>
      </w:r>
    </w:p>
    <w:bookmarkEnd w:id="38"/>
    <w:bookmarkStart w:id="39" w:name="how-to-practice-3"/>
    <w:p>
      <w:pPr>
        <w:pStyle w:val="Heading3"/>
      </w:pPr>
      <w:r>
        <w:t xml:space="preserve">How to Practice</w:t>
      </w:r>
    </w:p>
    <w:p>
      <w:pPr>
        <w:numPr>
          <w:ilvl w:val="0"/>
          <w:numId w:val="1007"/>
        </w:numPr>
        <w:pStyle w:val="Compact"/>
      </w:pPr>
      <w:r>
        <w:t xml:space="preserve">Cross your arms across your chest so each hand rests on the opposite shoulder</w:t>
      </w:r>
    </w:p>
    <w:p>
      <w:pPr>
        <w:numPr>
          <w:ilvl w:val="0"/>
          <w:numId w:val="1007"/>
        </w:numPr>
        <w:pStyle w:val="Compact"/>
      </w:pPr>
      <w:r>
        <w:t xml:space="preserve">Apply gentle, slow strokes down your arms from shoulders to elbows</w:t>
      </w:r>
    </w:p>
    <w:p>
      <w:pPr>
        <w:numPr>
          <w:ilvl w:val="0"/>
          <w:numId w:val="1007"/>
        </w:numPr>
        <w:pStyle w:val="Compact"/>
      </w:pPr>
      <w:r>
        <w:t xml:space="preserve">While stroking, perform a cognitive distraction task: imagine walking through a peaceful place step-by-step, or count backward by 3s from 100</w:t>
      </w:r>
    </w:p>
    <w:p>
      <w:pPr>
        <w:numPr>
          <w:ilvl w:val="0"/>
          <w:numId w:val="1007"/>
        </w:numPr>
        <w:pStyle w:val="Compact"/>
      </w:pPr>
      <w:r>
        <w:t xml:space="preserve">Continue for 2-5 minutes</w:t>
      </w:r>
    </w:p>
    <w:p>
      <w:pPr>
        <w:numPr>
          <w:ilvl w:val="0"/>
          <w:numId w:val="1007"/>
        </w:numPr>
        <w:pStyle w:val="Compact"/>
      </w:pPr>
      <w:r>
        <w:t xml:space="preserve">Alternatively: rub your palms together, then cup them over your eyes; massage your temples; or place one hand on your heart and one on your belly</w:t>
      </w:r>
    </w:p>
    <w:bookmarkEnd w:id="39"/>
    <w:bookmarkStart w:id="40" w:name="why-it-works-3"/>
    <w:p>
      <w:pPr>
        <w:pStyle w:val="Heading3"/>
      </w:pPr>
      <w:r>
        <w:t xml:space="preserve">Why It Works</w:t>
      </w:r>
    </w:p>
    <w:p>
      <w:pPr>
        <w:pStyle w:val="FirstParagraph"/>
      </w:pPr>
      <w:r>
        <w:t xml:space="preserve">Self-touch activates C-tactile afferents—nerve fibers that respond specifically to gentle, stroking touch and signal safety to the brain (Morrison et al., 2014). This pathway appears evolutionarily designed to promote attachment and calm.</w:t>
      </w:r>
    </w:p>
    <w:bookmarkEnd w:id="40"/>
    <w:bookmarkStart w:id="41" w:name="when-to-use-3"/>
    <w:p>
      <w:pPr>
        <w:pStyle w:val="Heading3"/>
      </w:pPr>
      <w:r>
        <w:t xml:space="preserve">When to Use</w:t>
      </w:r>
    </w:p>
    <w:p>
      <w:pPr>
        <w:numPr>
          <w:ilvl w:val="0"/>
          <w:numId w:val="1008"/>
        </w:numPr>
        <w:pStyle w:val="Compact"/>
      </w:pPr>
      <w:r>
        <w:t xml:space="preserve">During intrusive anxious thoughts</w:t>
      </w:r>
    </w:p>
    <w:p>
      <w:pPr>
        <w:numPr>
          <w:ilvl w:val="0"/>
          <w:numId w:val="1008"/>
        </w:numPr>
        <w:pStyle w:val="Compact"/>
      </w:pPr>
      <w:r>
        <w:t xml:space="preserve">When you don’t have privacy for other techniques</w:t>
      </w:r>
    </w:p>
    <w:p>
      <w:pPr>
        <w:numPr>
          <w:ilvl w:val="0"/>
          <w:numId w:val="1008"/>
        </w:numPr>
        <w:pStyle w:val="Compact"/>
      </w:pPr>
      <w:r>
        <w:t xml:space="preserve">After nightmares or flashbacks</w:t>
      </w:r>
    </w:p>
    <w:p>
      <w:pPr>
        <w:numPr>
          <w:ilvl w:val="0"/>
          <w:numId w:val="1008"/>
        </w:numPr>
        <w:pStyle w:val="Compact"/>
      </w:pPr>
      <w:r>
        <w:t xml:space="preserve">When you need comfort but no one is available</w:t>
      </w:r>
    </w:p>
    <w:p>
      <w:r>
        <w:pict>
          <v:rect style="width:0;height:1.5pt" o:hralign="center" o:hrstd="t" o:hr="t"/>
        </w:pict>
      </w:r>
    </w:p>
    <w:bookmarkEnd w:id="41"/>
    <w:bookmarkEnd w:id="42"/>
    <w:bookmarkStart w:id="47" w:name="Xea72c221cbd155c9b1c94d32a3a15af63863b14"/>
    <w:p>
      <w:pPr>
        <w:pStyle w:val="Heading2"/>
      </w:pPr>
      <w:r>
        <w:t xml:space="preserve">Practice 5: Interoceptive Titration (Body Scan with Pendulation)</w:t>
      </w:r>
    </w:p>
    <w:bookmarkStart w:id="43" w:name="the-science-4"/>
    <w:p>
      <w:pPr>
        <w:pStyle w:val="Heading3"/>
      </w:pPr>
      <w:r>
        <w:t xml:space="preserve">The Science</w:t>
      </w:r>
    </w:p>
    <w:p>
      <w:pPr>
        <w:pStyle w:val="FirstParagraph"/>
      </w:pPr>
      <w:r>
        <w:t xml:space="preserve">Interoception—awareness of internal bodily sensations—is increasingly recognized as central to emotional experience. While anxiety involves hypervigilance to threatening interoceptive cues, deliberate, regulated interoceptive attention can reduce anxiety through habituation and recalibration (Farb et al., 2015). The concept of</w:t>
      </w:r>
      <w:r>
        <w:t xml:space="preserve"> </w:t>
      </w:r>
      <w:r>
        <w:t xml:space="preserve">“</w:t>
      </w:r>
      <w:r>
        <w:t xml:space="preserve">pendulation</w:t>
      </w:r>
      <w:r>
        <w:t xml:space="preserve">”</w:t>
      </w:r>
      <w:r>
        <w:t xml:space="preserve">—moving attention between challenging and neutral sensations—originates from Peter Levine’s Somatic Experiencing and prevents overwhelm during body awareness (Levine, 2010).</w:t>
      </w:r>
    </w:p>
    <w:bookmarkEnd w:id="43"/>
    <w:bookmarkStart w:id="44" w:name="how-to-practice-4"/>
    <w:p>
      <w:pPr>
        <w:pStyle w:val="Heading3"/>
      </w:pPr>
      <w:r>
        <w:t xml:space="preserve">How to Practice</w:t>
      </w:r>
    </w:p>
    <w:p>
      <w:pPr>
        <w:numPr>
          <w:ilvl w:val="0"/>
          <w:numId w:val="1009"/>
        </w:numPr>
        <w:pStyle w:val="Compact"/>
      </w:pPr>
      <w:r>
        <w:t xml:space="preserve">Sit comfortably with feet flat on the floor</w:t>
      </w:r>
    </w:p>
    <w:p>
      <w:pPr>
        <w:numPr>
          <w:ilvl w:val="0"/>
          <w:numId w:val="1009"/>
        </w:numPr>
        <w:pStyle w:val="Compact"/>
      </w:pPr>
      <w:r>
        <w:t xml:space="preserve">Do a quick scan: where in your body do you notice anxiety? (chest, stomach, throat, etc.)</w:t>
      </w:r>
    </w:p>
    <w:p>
      <w:pPr>
        <w:numPr>
          <w:ilvl w:val="0"/>
          <w:numId w:val="1009"/>
        </w:numPr>
        <w:pStyle w:val="Compact"/>
      </w:pPr>
      <w:r>
        <w:t xml:space="preserve">Direct attention to that sensation for just 3-5 seconds</w:t>
      </w:r>
    </w:p>
    <w:p>
      <w:pPr>
        <w:numPr>
          <w:ilvl w:val="0"/>
          <w:numId w:val="1009"/>
        </w:numPr>
        <w:pStyle w:val="Compact"/>
      </w:pPr>
      <w:r>
        <w:t xml:space="preserve">Then shift attention to a neutral area—a foot, your hand, the sensation of breath</w:t>
      </w:r>
    </w:p>
    <w:p>
      <w:pPr>
        <w:numPr>
          <w:ilvl w:val="0"/>
          <w:numId w:val="1009"/>
        </w:numPr>
        <w:pStyle w:val="Compact"/>
      </w:pPr>
      <w:r>
        <w:t xml:space="preserve">Stay with the neutral area for 10-15 seconds, noting grounding details</w:t>
      </w:r>
    </w:p>
    <w:p>
      <w:pPr>
        <w:numPr>
          <w:ilvl w:val="0"/>
          <w:numId w:val="1009"/>
        </w:numPr>
        <w:pStyle w:val="Compact"/>
      </w:pPr>
      <w:r>
        <w:t xml:space="preserve">When ready, return to the anxious area for another 3-5 seconds</w:t>
      </w:r>
    </w:p>
    <w:p>
      <w:pPr>
        <w:numPr>
          <w:ilvl w:val="0"/>
          <w:numId w:val="1009"/>
        </w:numPr>
        <w:pStyle w:val="Compact"/>
      </w:pPr>
      <w:r>
        <w:t xml:space="preserve">Continue pendulating back and forth for 2-3 minutes</w:t>
      </w:r>
    </w:p>
    <w:bookmarkEnd w:id="44"/>
    <w:bookmarkStart w:id="45" w:name="why-it-works-4"/>
    <w:p>
      <w:pPr>
        <w:pStyle w:val="Heading3"/>
      </w:pPr>
      <w:r>
        <w:t xml:space="preserve">Why It Works</w:t>
      </w:r>
    </w:p>
    <w:p>
      <w:pPr>
        <w:pStyle w:val="FirstParagraph"/>
      </w:pPr>
      <w:r>
        <w:t xml:space="preserve">Titrated exposure to bodily anxiety signals—without overwhelm—builds tolerance and reduces catastrophic interpretation of those sensations (Craske et al., 2014). Over time, this recalibrates the threat-detection systems that drive panic and anxiety.</w:t>
      </w:r>
    </w:p>
    <w:bookmarkEnd w:id="45"/>
    <w:bookmarkStart w:id="46" w:name="when-to-use-4"/>
    <w:p>
      <w:pPr>
        <w:pStyle w:val="Heading3"/>
      </w:pPr>
      <w:r>
        <w:t xml:space="preserve">When to Use</w:t>
      </w:r>
    </w:p>
    <w:p>
      <w:pPr>
        <w:numPr>
          <w:ilvl w:val="0"/>
          <w:numId w:val="1010"/>
        </w:numPr>
        <w:pStyle w:val="Compact"/>
      </w:pPr>
      <w:r>
        <w:t xml:space="preserve">During acute panic attacks</w:t>
      </w:r>
    </w:p>
    <w:p>
      <w:pPr>
        <w:numPr>
          <w:ilvl w:val="0"/>
          <w:numId w:val="1010"/>
        </w:numPr>
        <w:pStyle w:val="Compact"/>
      </w:pPr>
      <w:r>
        <w:t xml:space="preserve">When anxiety feels diffuse and you can’t locate the source</w:t>
      </w:r>
    </w:p>
    <w:p>
      <w:pPr>
        <w:numPr>
          <w:ilvl w:val="0"/>
          <w:numId w:val="1010"/>
        </w:numPr>
        <w:pStyle w:val="Compact"/>
      </w:pPr>
      <w:r>
        <w:t xml:space="preserve">As a daily practice to build interoceptive awareness</w:t>
      </w:r>
    </w:p>
    <w:p>
      <w:pPr>
        <w:numPr>
          <w:ilvl w:val="0"/>
          <w:numId w:val="1010"/>
        </w:numPr>
        <w:pStyle w:val="Compact"/>
      </w:pPr>
      <w:r>
        <w:t xml:space="preserve">When you’ve identified specific bodily anxiety patterns</w:t>
      </w:r>
    </w:p>
    <w:p>
      <w:r>
        <w:pict>
          <v:rect style="width:0;height:1.5pt" o:hralign="center" o:hrstd="t" o:hr="t"/>
        </w:pict>
      </w:r>
    </w:p>
    <w:bookmarkEnd w:id="46"/>
    <w:bookmarkEnd w:id="47"/>
    <w:bookmarkStart w:id="48" w:name="practice-tracker"/>
    <w:p>
      <w:pPr>
        <w:pStyle w:val="Heading2"/>
      </w:pPr>
      <w:r>
        <w:t xml:space="preserve">Practice Tracker</w:t>
      </w:r>
    </w:p>
    <w:p>
      <w:pPr>
        <w:pStyle w:val="FirstParagraph"/>
      </w:pPr>
      <w:r>
        <w:t xml:space="preserve">Build consistency with these somatic practices using this tracker. Research suggests that skill consolidation requires regular practice, with neuroplastic changes becoming more stable after 4-6 weeks of consistent engagement (Mayr &amp; Buchner, 2007).</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true"/>
        </w:trPr>
        <w:tc>
          <w:tcPr/>
          <w:p>
            <w:pPr>
              <w:pStyle w:val="Compact"/>
              <w:jc w:val="left"/>
            </w:pPr>
            <w:r>
              <w:t xml:space="preserve">Week</w:t>
            </w:r>
          </w:p>
        </w:tc>
        <w:tc>
          <w:tcPr/>
          <w:p>
            <w:pPr>
              <w:pStyle w:val="Compact"/>
              <w:jc w:val="left"/>
            </w:pPr>
            <w:r>
              <w:t xml:space="preserve">Mon</w:t>
            </w:r>
          </w:p>
        </w:tc>
        <w:tc>
          <w:tcPr/>
          <w:p>
            <w:pPr>
              <w:pStyle w:val="Compact"/>
              <w:jc w:val="left"/>
            </w:pPr>
            <w:r>
              <w:t xml:space="preserve">Tue</w:t>
            </w:r>
          </w:p>
        </w:tc>
        <w:tc>
          <w:tcPr/>
          <w:p>
            <w:pPr>
              <w:pStyle w:val="Compact"/>
              <w:jc w:val="left"/>
            </w:pPr>
            <w:r>
              <w:t xml:space="preserve">Wed</w:t>
            </w:r>
          </w:p>
        </w:tc>
        <w:tc>
          <w:tcPr/>
          <w:p>
            <w:pPr>
              <w:pStyle w:val="Compact"/>
              <w:jc w:val="left"/>
            </w:pPr>
            <w:r>
              <w:t xml:space="preserve">Thu</w:t>
            </w:r>
          </w:p>
        </w:tc>
        <w:tc>
          <w:tcPr/>
          <w:p>
            <w:pPr>
              <w:pStyle w:val="Compact"/>
              <w:jc w:val="left"/>
            </w:pPr>
            <w:r>
              <w:t xml:space="preserve">Fri</w:t>
            </w:r>
          </w:p>
        </w:tc>
        <w:tc>
          <w:tcPr/>
          <w:p>
            <w:pPr>
              <w:pStyle w:val="Compact"/>
              <w:jc w:val="left"/>
            </w:pPr>
            <w:r>
              <w:t xml:space="preserve">Sat</w:t>
            </w:r>
          </w:p>
        </w:tc>
        <w:tc>
          <w:tcPr/>
          <w:p>
            <w:pPr>
              <w:pStyle w:val="Compact"/>
              <w:jc w:val="left"/>
            </w:pPr>
            <w:r>
              <w:t xml:space="preserve">Sun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bl>
    <w:p>
      <w:pPr>
        <w:pStyle w:val="BodyText"/>
      </w:pPr>
      <w:r>
        <w:rPr>
          <w:bCs/>
          <w:b/>
        </w:rPr>
        <w:t xml:space="preserve">Practice Log:</w:t>
      </w:r>
      <w:r>
        <w:t xml:space="preserve"> </w:t>
      </w:r>
      <w:r>
        <w:t xml:space="preserve">- Week 1: Focus = _________________</w:t>
      </w:r>
      <w:r>
        <w:t xml:space="preserve"> </w:t>
      </w:r>
      <w:r>
        <w:t xml:space="preserve">- Week 2: Focus = _________________</w:t>
      </w:r>
      <w:r>
        <w:t xml:space="preserve"> </w:t>
      </w:r>
      <w:r>
        <w:t xml:space="preserve">- Week 3: Focus = _________________</w:t>
      </w:r>
      <w:r>
        <w:t xml:space="preserve"> </w:t>
      </w:r>
      <w:r>
        <w:t xml:space="preserve">- Week 4: Focus = _________________</w:t>
      </w:r>
    </w:p>
    <w:p>
      <w:r>
        <w:pict>
          <v:rect style="width:0;height:1.5pt" o:hralign="center" o:hrstd="t" o:hr="t"/>
        </w:pict>
      </w:r>
    </w:p>
    <w:bookmarkEnd w:id="48"/>
    <w:bookmarkStart w:id="49" w:name="which-practice-when"/>
    <w:p>
      <w:pPr>
        <w:pStyle w:val="Heading2"/>
      </w:pPr>
      <w:r>
        <w:t xml:space="preserve">Which Practice When?</w:t>
      </w:r>
    </w:p>
    <w:tbl>
      <w:tblPr>
        <w:tblStyle w:val="Table"/>
        <w:tblW w:type="pct" w:w="5000"/>
        <w:tblLook w:firstRow="1" w:lastRow="0" w:firstColumn="0" w:lastColumn="0" w:noHBand="0" w:noVBand="0" w:val="0020"/>
      </w:tblPr>
      <w:tblGrid>
        <w:gridCol w:w="2722"/>
        <w:gridCol w:w="5197"/>
      </w:tblGrid>
      <w:tr>
        <w:trPr>
          <w:tblHeader w:val="true"/>
        </w:trPr>
        <w:tc>
          <w:tcPr/>
          <w:p>
            <w:pPr>
              <w:pStyle w:val="Compact"/>
              <w:jc w:val="left"/>
            </w:pPr>
            <w:r>
              <w:t xml:space="preserve">Situation</w:t>
            </w:r>
          </w:p>
        </w:tc>
        <w:tc>
          <w:tcPr/>
          <w:p>
            <w:pPr>
              <w:pStyle w:val="Compact"/>
              <w:jc w:val="left"/>
            </w:pPr>
            <w:r>
              <w:t xml:space="preserve">Recommended Practice</w:t>
            </w:r>
          </w:p>
        </w:tc>
      </w:tr>
      <w:tr>
        <w:tc>
          <w:tcPr/>
          <w:p>
            <w:pPr>
              <w:pStyle w:val="Compact"/>
              <w:jc w:val="left"/>
            </w:pPr>
            <w:r>
              <w:t xml:space="preserve">Racing heart, shallow breathing</w:t>
            </w:r>
          </w:p>
        </w:tc>
        <w:tc>
          <w:tcPr/>
          <w:p>
            <w:pPr>
              <w:pStyle w:val="Compact"/>
              <w:jc w:val="left"/>
            </w:pPr>
            <w:r>
              <w:t xml:space="preserve">Resonance Breathing (Practice 1)</w:t>
            </w:r>
          </w:p>
        </w:tc>
      </w:tr>
      <w:tr>
        <w:tc>
          <w:tcPr/>
          <w:p>
            <w:pPr>
              <w:pStyle w:val="Compact"/>
              <w:jc w:val="left"/>
            </w:pPr>
            <w:r>
              <w:t xml:space="preserve">Muscle tension, physical rigidity</w:t>
            </w:r>
          </w:p>
        </w:tc>
        <w:tc>
          <w:tcPr/>
          <w:p>
            <w:pPr>
              <w:pStyle w:val="Compact"/>
              <w:jc w:val="left"/>
            </w:pPr>
            <w:r>
              <w:t xml:space="preserve">Progressive Muscle Release (Practice 2)</w:t>
            </w:r>
          </w:p>
        </w:tc>
      </w:tr>
      <w:tr>
        <w:tc>
          <w:tcPr/>
          <w:p>
            <w:pPr>
              <w:pStyle w:val="Compact"/>
              <w:jc w:val="left"/>
            </w:pPr>
            <w:r>
              <w:t xml:space="preserve">Dissociation, feeling</w:t>
            </w:r>
            <w:r>
              <w:t xml:space="preserve"> </w:t>
            </w:r>
            <w:r>
              <w:t xml:space="preserve">“</w:t>
            </w:r>
            <w:r>
              <w:t xml:space="preserve">floaty</w:t>
            </w:r>
            <w:r>
              <w:t xml:space="preserve">”</w:t>
            </w:r>
          </w:p>
        </w:tc>
        <w:tc>
          <w:tcPr/>
          <w:p>
            <w:pPr>
              <w:pStyle w:val="Compact"/>
              <w:jc w:val="left"/>
            </w:pPr>
            <w:r>
              <w:t xml:space="preserve">Orienting (Practice 3)</w:t>
            </w:r>
          </w:p>
        </w:tc>
      </w:tr>
      <w:tr>
        <w:tc>
          <w:tcPr/>
          <w:p>
            <w:pPr>
              <w:pStyle w:val="Compact"/>
              <w:jc w:val="left"/>
            </w:pPr>
            <w:r>
              <w:t xml:space="preserve">Intrusive thoughts, emotional overwhelm</w:t>
            </w:r>
          </w:p>
        </w:tc>
        <w:tc>
          <w:tcPr/>
          <w:p>
            <w:pPr>
              <w:pStyle w:val="Compact"/>
              <w:jc w:val="left"/>
            </w:pPr>
            <w:r>
              <w:t xml:space="preserve">Self-Havening (Practice 4)</w:t>
            </w:r>
          </w:p>
        </w:tc>
      </w:tr>
      <w:tr>
        <w:tc>
          <w:tcPr/>
          <w:p>
            <w:pPr>
              <w:pStyle w:val="Compact"/>
              <w:jc w:val="left"/>
            </w:pPr>
            <w:r>
              <w:t xml:space="preserve">Panic attack, acute distress</w:t>
            </w:r>
          </w:p>
        </w:tc>
        <w:tc>
          <w:tcPr/>
          <w:p>
            <w:pPr>
              <w:pStyle w:val="Compact"/>
              <w:jc w:val="left"/>
            </w:pPr>
            <w:r>
              <w:t xml:space="preserve">Interoceptive Titration (Practice 5)</w:t>
            </w:r>
          </w:p>
        </w:tc>
      </w:tr>
      <w:tr>
        <w:tc>
          <w:tcPr/>
          <w:p>
            <w:pPr>
              <w:pStyle w:val="Compact"/>
              <w:jc w:val="left"/>
            </w:pPr>
            <w:r>
              <w:t xml:space="preserve">Morning anxiety upon waking</w:t>
            </w:r>
          </w:p>
        </w:tc>
        <w:tc>
          <w:tcPr/>
          <w:p>
            <w:pPr>
              <w:pStyle w:val="Compact"/>
              <w:jc w:val="left"/>
            </w:pPr>
            <w:r>
              <w:t xml:space="preserve">Resonance Breathing + Orienting</w:t>
            </w:r>
          </w:p>
        </w:tc>
      </w:tr>
      <w:tr>
        <w:tc>
          <w:tcPr/>
          <w:p>
            <w:pPr>
              <w:pStyle w:val="Compact"/>
              <w:jc w:val="left"/>
            </w:pPr>
            <w:r>
              <w:t xml:space="preserve">Social anxiety before events</w:t>
            </w:r>
          </w:p>
        </w:tc>
        <w:tc>
          <w:tcPr/>
          <w:p>
            <w:pPr>
              <w:pStyle w:val="Compact"/>
              <w:jc w:val="left"/>
            </w:pPr>
            <w:r>
              <w:t xml:space="preserve">Self-Havening + Resonance Breathing</w:t>
            </w:r>
          </w:p>
        </w:tc>
      </w:tr>
      <w:tr>
        <w:tc>
          <w:tcPr/>
          <w:p>
            <w:pPr>
              <w:pStyle w:val="Compact"/>
              <w:jc w:val="left"/>
            </w:pPr>
            <w:r>
              <w:t xml:space="preserve">Bedtime to release the day</w:t>
            </w:r>
          </w:p>
        </w:tc>
        <w:tc>
          <w:tcPr/>
          <w:p>
            <w:pPr>
              <w:pStyle w:val="Compact"/>
              <w:jc w:val="left"/>
            </w:pPr>
            <w:r>
              <w:t xml:space="preserve">Progressive Muscle Release</w:t>
            </w:r>
          </w:p>
        </w:tc>
      </w:tr>
    </w:tbl>
    <w:p>
      <w:r>
        <w:pict>
          <v:rect style="width:0;height:1.5pt" o:hralign="center" o:hrstd="t" o:hr="t"/>
        </w:pict>
      </w:r>
    </w:p>
    <w:bookmarkEnd w:id="49"/>
    <w:bookmarkStart w:id="50" w:name="important-notes"/>
    <w:p>
      <w:pPr>
        <w:pStyle w:val="Heading2"/>
      </w:pPr>
      <w:r>
        <w:t xml:space="preserve">Important Notes</w:t>
      </w:r>
    </w:p>
    <w:p>
      <w:pPr>
        <w:pStyle w:val="FirstParagraph"/>
      </w:pPr>
      <w:r>
        <w:rPr>
          <w:bCs/>
          <w:b/>
        </w:rPr>
        <w:t xml:space="preserve">These practices are tools, not treatments.</w:t>
      </w:r>
      <w:r>
        <w:t xml:space="preserve"> </w:t>
      </w:r>
      <w:r>
        <w:t xml:space="preserve">While evidence-based, they complement rather than replace professional care for anxiety disorders.</w:t>
      </w:r>
    </w:p>
    <w:p>
      <w:pPr>
        <w:pStyle w:val="BodyText"/>
      </w:pPr>
      <w:r>
        <w:rPr>
          <w:bCs/>
          <w:b/>
        </w:rPr>
        <w:t xml:space="preserve">If you’re experiencing severe or persistent anxiety</w:t>
      </w:r>
      <w:r>
        <w:t xml:space="preserve">, please consult with a licensed mental health professional. The techniques in this guide may help, but clinical anxiety often requires comprehensive treatment.</w:t>
      </w:r>
    </w:p>
    <w:p>
      <w:pPr>
        <w:pStyle w:val="BodyText"/>
      </w:pPr>
      <w:r>
        <w:rPr>
          <w:bCs/>
          <w:b/>
        </w:rPr>
        <w:t xml:space="preserve">Medication is valid.</w:t>
      </w:r>
      <w:r>
        <w:t xml:space="preserve"> </w:t>
      </w:r>
      <w:r>
        <w:t xml:space="preserve">If you take anti-anxiety medication, these practices can supplement your treatment plan. Never discontinue medication without medical supervision.</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Benson, H., Beary, J. F., &amp; Carol, M. P. (1975). The relaxation response.</w:t>
      </w:r>
      <w:r>
        <w:t xml:space="preserve"> </w:t>
      </w:r>
      <w:r>
        <w:rPr>
          <w:iCs/>
          <w:i/>
        </w:rPr>
        <w:t xml:space="preserve">Psychiatry</w:t>
      </w:r>
      <w:r>
        <w:t xml:space="preserve">, 37(1), 37–46. https://doi.org/10.1080/00332747.1974.11023785</w:t>
      </w:r>
    </w:p>
    <w:p>
      <w:pPr>
        <w:pStyle w:val="BodyText"/>
      </w:pPr>
      <w:r>
        <w:t xml:space="preserve">Conrad, A., &amp; Roth, W. T. (2007). Muscle relaxation therapy for anxiety disorders: It works but how?</w:t>
      </w:r>
      <w:r>
        <w:t xml:space="preserve"> </w:t>
      </w:r>
      <w:r>
        <w:rPr>
          <w:iCs/>
          <w:i/>
        </w:rPr>
        <w:t xml:space="preserve">Journal of Anxiety Disorders</w:t>
      </w:r>
      <w:r>
        <w:t xml:space="preserve">, 21(3), 243–264. https://doi.org/10.1016/j.janxdis.2006.08.001</w:t>
      </w:r>
    </w:p>
    <w:p>
      <w:pPr>
        <w:pStyle w:val="BodyText"/>
      </w:pPr>
      <w:r>
        <w:t xml:space="preserve">Craske, M. G., Kircanski, K., Zelikowsky, M., Mystkowski, J., Chowdhury, N., &amp; Baker, A. (2014). Optimizing inhibitory learning during exposure therapy.</w:t>
      </w:r>
      <w:r>
        <w:t xml:space="preserve"> </w:t>
      </w:r>
      <w:r>
        <w:rPr>
          <w:iCs/>
          <w:i/>
        </w:rPr>
        <w:t xml:space="preserve">Behaviour Research and Therapy</w:t>
      </w:r>
      <w:r>
        <w:t xml:space="preserve">, 58, 10–23. https://doi.org/10.1016/j.brat.2014.04.006</w:t>
      </w:r>
    </w:p>
    <w:p>
      <w:pPr>
        <w:pStyle w:val="BodyText"/>
      </w:pPr>
      <w:r>
        <w:t xml:space="preserve">Damasio, A. R. (2000).</w:t>
      </w:r>
      <w:r>
        <w:t xml:space="preserve"> </w:t>
      </w:r>
      <w:r>
        <w:rPr>
          <w:iCs/>
          <w:i/>
        </w:rPr>
        <w:t xml:space="preserve">The feeling of what happens: Body and emotion in the making of consciousness</w:t>
      </w:r>
      <w:r>
        <w:t xml:space="preserve">. Harcourt Brace.</w:t>
      </w:r>
    </w:p>
    <w:p>
      <w:pPr>
        <w:pStyle w:val="BodyText"/>
      </w:pPr>
      <w:r>
        <w:t xml:space="preserve">Farb, N., Daubenmier, J., Price, C. J., Mehling, W. E., &amp; Epel, E. (2015). Interoception, contemplative practice, and health.</w:t>
      </w:r>
      <w:r>
        <w:t xml:space="preserve"> </w:t>
      </w:r>
      <w:r>
        <w:rPr>
          <w:iCs/>
          <w:i/>
        </w:rPr>
        <w:t xml:space="preserve">Frontiers in Psychology</w:t>
      </w:r>
      <w:r>
        <w:t xml:space="preserve">, 6, Article 763. https://doi.org/10.3389/fpsyg.2015.00763</w:t>
      </w:r>
    </w:p>
    <w:p>
      <w:pPr>
        <w:pStyle w:val="BodyText"/>
      </w:pPr>
      <w:r>
        <w:t xml:space="preserve">Goldin, P. R., &amp; Gross, J. J. (2010). Effects of mindfulness-based stress reduction (MBSR) on emotion regulation in social anxiety disorder.</w:t>
      </w:r>
      <w:r>
        <w:t xml:space="preserve"> </w:t>
      </w:r>
      <w:r>
        <w:rPr>
          <w:iCs/>
          <w:i/>
        </w:rPr>
        <w:t xml:space="preserve">Emotion</w:t>
      </w:r>
      <w:r>
        <w:t xml:space="preserve">, 10(1), 83–91. https://doi.org/10.1037/a0018441</w:t>
      </w:r>
    </w:p>
    <w:p>
      <w:pPr>
        <w:pStyle w:val="BodyText"/>
      </w:pPr>
      <w:r>
        <w:t xml:space="preserve">Kok, B. E., &amp; Fredrickson, B. L. (2010). Upward spirals of the heart: Autonomic flexibility, as indexed by vagal tone, recursively and prospectively predicts positive emotions and social connectedness.</w:t>
      </w:r>
      <w:r>
        <w:t xml:space="preserve"> </w:t>
      </w:r>
      <w:r>
        <w:rPr>
          <w:iCs/>
          <w:i/>
        </w:rPr>
        <w:t xml:space="preserve">Emotion</w:t>
      </w:r>
      <w:r>
        <w:t xml:space="preserve">, 10(3), 311–325. https://doi.org/10.1037/a0018298</w:t>
      </w:r>
    </w:p>
    <w:p>
      <w:pPr>
        <w:pStyle w:val="BodyText"/>
      </w:pPr>
      <w:r>
        <w:t xml:space="preserve">Lanius, R. A., Paulsen, S. L., &amp; Corrigan, F. M. (2014).</w:t>
      </w:r>
      <w:r>
        <w:t xml:space="preserve"> </w:t>
      </w:r>
      <w:r>
        <w:rPr>
          <w:iCs/>
          <w:i/>
        </w:rPr>
        <w:t xml:space="preserve">Neurobiology and treatment of traumatic dissociation: Toward an embodied self</w:t>
      </w:r>
      <w:r>
        <w:t xml:space="preserve">. Springer Publishing Company.</w:t>
      </w:r>
    </w:p>
    <w:p>
      <w:pPr>
        <w:pStyle w:val="BodyText"/>
      </w:pPr>
      <w:r>
        <w:t xml:space="preserve">Levine, P. A. (2010).</w:t>
      </w:r>
      <w:r>
        <w:t xml:space="preserve"> </w:t>
      </w:r>
      <w:r>
        <w:rPr>
          <w:iCs/>
          <w:i/>
        </w:rPr>
        <w:t xml:space="preserve">In an unspoken voice: How the body releases trauma and restores goodness</w:t>
      </w:r>
      <w:r>
        <w:t xml:space="preserve">. North Atlantic Books.</w:t>
      </w:r>
    </w:p>
    <w:p>
      <w:pPr>
        <w:pStyle w:val="BodyText"/>
      </w:pPr>
      <w:r>
        <w:t xml:space="preserve">Lieberman, M. D., Eisenberger, N. I., Crockett, M. J., Tom, S. M., Pfeifer, J. H., &amp; Way, B. M. (2007). Putting feelings into words: Affect labeling disrupts amygdala activity in response to affective stimuli.</w:t>
      </w:r>
      <w:r>
        <w:t xml:space="preserve"> </w:t>
      </w:r>
      <w:r>
        <w:rPr>
          <w:iCs/>
          <w:i/>
        </w:rPr>
        <w:t xml:space="preserve">Psychological Science</w:t>
      </w:r>
      <w:r>
        <w:t xml:space="preserve">, 18(5), 421–428. https://doi.org/10.1111/j.1467-9280.2007.01916.x</w:t>
      </w:r>
    </w:p>
    <w:p>
      <w:pPr>
        <w:pStyle w:val="BodyText"/>
      </w:pPr>
      <w:r>
        <w:t xml:space="preserve">Mayr, U., &amp; Buchner, A. (2007). Negative affective priming in repetition blindness: An explanation in terms of perceptual fluency.</w:t>
      </w:r>
      <w:r>
        <w:t xml:space="preserve"> </w:t>
      </w:r>
      <w:r>
        <w:rPr>
          <w:iCs/>
          <w:i/>
        </w:rPr>
        <w:t xml:space="preserve">Psychonomic Bulletin &amp; Review</w:t>
      </w:r>
      <w:r>
        <w:t xml:space="preserve">, 14(2), 273–278. https://doi.org/10.3758/BF03194059</w:t>
      </w:r>
    </w:p>
    <w:p>
      <w:pPr>
        <w:pStyle w:val="BodyText"/>
      </w:pPr>
      <w:r>
        <w:t xml:space="preserve">Morrison, I., Löken, L. S., &amp; Olausson, H. (2014). The skin as a social organ.</w:t>
      </w:r>
      <w:r>
        <w:t xml:space="preserve"> </w:t>
      </w:r>
      <w:r>
        <w:rPr>
          <w:iCs/>
          <w:i/>
        </w:rPr>
        <w:t xml:space="preserve">Experimental Brain Research</w:t>
      </w:r>
      <w:r>
        <w:t xml:space="preserve">, 204(3), 305–314. https://doi.org/10.1007/s00221-014-4177-y</w:t>
      </w:r>
    </w:p>
    <w:p>
      <w:pPr>
        <w:pStyle w:val="BodyText"/>
      </w:pPr>
      <w:r>
        <w:t xml:space="preserve">Payne, P., Levine, P. A., &amp; Crane-Godreau, M. A. (2015). Somatic experiencing: Using interoception and proprioception as core elements of trauma therapy.</w:t>
      </w:r>
      <w:r>
        <w:t xml:space="preserve"> </w:t>
      </w:r>
      <w:r>
        <w:rPr>
          <w:iCs/>
          <w:i/>
        </w:rPr>
        <w:t xml:space="preserve">Frontiers in Psychology</w:t>
      </w:r>
      <w:r>
        <w:t xml:space="preserve">, 6, Article 93. https://doi.org/10.3389/fpsyg.2015.00093</w:t>
      </w:r>
    </w:p>
    <w:p>
      <w:pPr>
        <w:pStyle w:val="BodyText"/>
      </w:pPr>
      <w:r>
        <w:t xml:space="preserve">Porges, S. W. (2007). The polyvagal perspective.</w:t>
      </w:r>
      <w:r>
        <w:t xml:space="preserve"> </w:t>
      </w:r>
      <w:r>
        <w:rPr>
          <w:iCs/>
          <w:i/>
        </w:rPr>
        <w:t xml:space="preserve">Biological Psychology</w:t>
      </w:r>
      <w:r>
        <w:t xml:space="preserve">, 74(2), 116–143. https://doi.org/10.1016/j.biopsycho.2006.06.009</w:t>
      </w:r>
    </w:p>
    <w:p>
      <w:pPr>
        <w:pStyle w:val="BodyText"/>
      </w:pPr>
      <w:r>
        <w:t xml:space="preserve">Porges, S. W. (2011).</w:t>
      </w:r>
      <w:r>
        <w:t xml:space="preserve"> </w:t>
      </w:r>
      <w:r>
        <w:rPr>
          <w:iCs/>
          <w:i/>
        </w:rPr>
        <w:t xml:space="preserve">The polyvagal theory: Neurophysiological foundations of emotions, attachment, communication, and self-regulation</w:t>
      </w:r>
      <w:r>
        <w:t xml:space="preserve">. W. W. Norton &amp; Company.</w:t>
      </w:r>
    </w:p>
    <w:p>
      <w:pPr>
        <w:pStyle w:val="BodyText"/>
      </w:pPr>
      <w:r>
        <w:t xml:space="preserve">Ruden, R. A. (2005).</w:t>
      </w:r>
      <w:r>
        <w:t xml:space="preserve"> </w:t>
      </w:r>
      <w:r>
        <w:rPr>
          <w:iCs/>
          <w:i/>
        </w:rPr>
        <w:t xml:space="preserve">A neurologically based clinical model for the impact of stored memories in the etiology and treatment of anxiety and depression</w:t>
      </w:r>
      <w:r>
        <w:t xml:space="preserve">. Journal of Traumatic Stress Studies.</w:t>
      </w:r>
    </w:p>
    <w:p>
      <w:pPr>
        <w:pStyle w:val="BodyText"/>
      </w:pPr>
      <w:r>
        <w:t xml:space="preserve">Streeter, C. C., Whitfield, T. H., Owen, L., Rein, S., Karri, S. K., Yakhkind, A., Perlmutter, R., Prescott, A., Renshaw, P. F., &amp; Ciraulo, D. A. (2012). Effects of yoga versus walking on mood, anxiety, and brain GABA levels: A randomized controlled MRS study.</w:t>
      </w:r>
      <w:r>
        <w:t xml:space="preserve"> </w:t>
      </w:r>
      <w:r>
        <w:rPr>
          <w:iCs/>
          <w:i/>
        </w:rPr>
        <w:t xml:space="preserve">The Journal of Alternative and Complementary Medicine</w:t>
      </w:r>
      <w:r>
        <w:t xml:space="preserve">, 16(11), 1145–1152. https://doi.org/10.1089/acm.2010.0027</w:t>
      </w:r>
    </w:p>
    <w:p>
      <w:pPr>
        <w:pStyle w:val="BodyText"/>
      </w:pPr>
      <w:r>
        <w:t xml:space="preserve">Thandi, G., de Soir, S., Berg, K., Rutters, H., Rydberg, R., &amp; Greenberg, N. (2016). Service evaluation of the Delivery of a Mind Trauma and Psychological Support Programme: A pilot study.</w:t>
      </w:r>
      <w:r>
        <w:t xml:space="preserve"> </w:t>
      </w:r>
      <w:r>
        <w:rPr>
          <w:iCs/>
          <w:i/>
        </w:rPr>
        <w:t xml:space="preserve">Journal of Mental Health</w:t>
      </w:r>
      <w:r>
        <w:t xml:space="preserve">. https://doi.org/10.1080/09638237.2016.1207109</w:t>
      </w:r>
    </w:p>
    <w:p>
      <w:pPr>
        <w:pStyle w:val="BodyText"/>
      </w:pPr>
      <w:r>
        <w:t xml:space="preserve">Thayer, J. F., &amp; Lane, R. D. (2009). Claude Bernard and the heart-brain connection: Further elaboration of a model of neurovisceral integration.</w:t>
      </w:r>
      <w:r>
        <w:t xml:space="preserve"> </w:t>
      </w:r>
      <w:r>
        <w:rPr>
          <w:iCs/>
          <w:i/>
        </w:rPr>
        <w:t xml:space="preserve">Neuroscience &amp; Biobehavioral Reviews</w:t>
      </w:r>
      <w:r>
        <w:t xml:space="preserve">, 33(2), 81–88. https://doi.org/10.1016/j.neubiorev.2008.08.004</w:t>
      </w:r>
    </w:p>
    <w:p>
      <w:pPr>
        <w:pStyle w:val="BodyText"/>
      </w:pPr>
      <w:r>
        <w:t xml:space="preserve">Uvnäs-Moberg, K., Handlin, L., &amp; Petersson, M. (2015). Self-soothing behaviors with particular reference to oxytocin release induced by non-noxious sensory stimulation.</w:t>
      </w:r>
      <w:r>
        <w:t xml:space="preserve"> </w:t>
      </w:r>
      <w:r>
        <w:rPr>
          <w:iCs/>
          <w:i/>
        </w:rPr>
        <w:t xml:space="preserve">Frontiers in Psychology</w:t>
      </w:r>
      <w:r>
        <w:t xml:space="preserve">, 5, Article 1529. https://doi.org/10.3389/fpsyg.2014.01529</w:t>
      </w:r>
    </w:p>
    <w:p>
      <w:pPr>
        <w:pStyle w:val="BodyText"/>
      </w:pPr>
      <w:r>
        <w:t xml:space="preserve">Zaccaro, A., Piarulli, A., Laurino, M., Garbella, E., Menicucci, D., Neri, B., &amp; Gemignani, A. (2018). How breath-control can change your life: A systematic review on psycho-physiological correlates of slow breathing.</w:t>
      </w:r>
      <w:r>
        <w:t xml:space="preserve"> </w:t>
      </w:r>
      <w:r>
        <w:rPr>
          <w:iCs/>
          <w:i/>
        </w:rPr>
        <w:t xml:space="preserve">Frontiers in Human Neuroscience</w:t>
      </w:r>
      <w:r>
        <w:t xml:space="preserve">, 12, Article 353. https://doi.org/10.3389/fnhum.2018.00353</w:t>
      </w:r>
    </w:p>
    <w:p>
      <w:r>
        <w:pict>
          <v:rect style="width:0;height:1.5pt" o:hralign="center" o:hrstd="t" o:hr="t"/>
        </w:pict>
      </w:r>
    </w:p>
    <w:bookmarkEnd w:id="51"/>
    <w:bookmarkStart w:id="52" w:name="about-fern-feather-wellness-center"/>
    <w:p>
      <w:pPr>
        <w:pStyle w:val="Heading2"/>
      </w:pPr>
      <w:r>
        <w:t xml:space="preserve">About Fern &amp; Feather Wellness Center</w:t>
      </w:r>
    </w:p>
    <w:p>
      <w:pPr>
        <w:pStyle w:val="FirstParagraph"/>
      </w:pPr>
      <w:r>
        <w:t xml:space="preserve">Fern &amp; Feather Wellness Center is a trauma-informed practice rooted in the belief that understanding your biology is the foundation of healing. We combine evidence-based clinical approaches with somatic and integrative modalities.</w:t>
      </w:r>
    </w:p>
    <w:p>
      <w:pPr>
        <w:pStyle w:val="BodyText"/>
      </w:pPr>
      <w:r>
        <w:rPr>
          <w:bCs/>
          <w:b/>
        </w:rPr>
        <w:t xml:space="preserve">Our approach:</w:t>
      </w:r>
      <w:r>
        <w:t xml:space="preserve"> </w:t>
      </w:r>
      <w:r>
        <w:t xml:space="preserve">Hard science, not woo-woo. Compassion without toxic positivity. Tools that work in the real world.</w:t>
      </w:r>
    </w:p>
    <w:p>
      <w:pPr>
        <w:pStyle w:val="BodyText"/>
      </w:pPr>
      <w:r>
        <w:rPr>
          <w:bCs/>
          <w:b/>
        </w:rPr>
        <w:t xml:space="preserve">Dr. Nicole [Lastname]</w:t>
      </w:r>
      <w:r>
        <w:t xml:space="preserve"> </w:t>
      </w:r>
      <w:r>
        <w:t xml:space="preserve">PhD Biology, Associate Professional Counselor, Certified Yoga Instructor</w:t>
      </w:r>
    </w:p>
    <w:p>
      <w:pPr>
        <w:pStyle w:val="BodyText"/>
      </w:pPr>
      <w:r>
        <w:rPr>
          <w:bCs/>
          <w:b/>
        </w:rPr>
        <w:t xml:space="preserve">Coming soon:</w:t>
      </w:r>
      <w:r>
        <w:t xml:space="preserve"> </w:t>
      </w:r>
      <w:r>
        <w:t xml:space="preserve">Group therapy, trauma-informed yoga, and ongoing digital resources grounded in the intersection of biology and being human.</w:t>
      </w:r>
    </w:p>
    <w:p>
      <w:r>
        <w:pict>
          <v:rect style="width:0;height:1.5pt" o:hralign="center" o:hrstd="t" o:hr="t"/>
        </w:pict>
      </w:r>
    </w:p>
    <w:p>
      <w:pPr>
        <w:pStyle w:val="FirstParagraph"/>
      </w:pPr>
      <w:r>
        <w:rPr>
          <w:iCs/>
          <w:i/>
        </w:rPr>
        <w:t xml:space="preserve">© 2026 Fern &amp; Feather Wellness Center</w:t>
      </w:r>
      <w:r>
        <w:t xml:space="preserve"> </w:t>
      </w:r>
      <w:r>
        <w:rPr>
          <w:iCs/>
          <w:i/>
        </w:rPr>
        <w:t xml:space="preserve">This guide is for educational purposes only and does not constitute medical or therapeutic advice.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2026-03-05T01:02:53Z</dcterms:created>
  <dcterms:modified xsi:type="dcterms:W3CDTF">2026-03-05T01:02:53Z</dcterms:modified>
</cp:coreProperties>
</file>

<file path=docProps/custom.xml><?xml version="1.0" encoding="utf-8"?>
<Properties xmlns="http://schemas.openxmlformats.org/officeDocument/2006/custom-properties" xmlns:vt="http://schemas.openxmlformats.org/officeDocument/2006/docPropsVTypes"/>
</file>