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1B5E20"/>
            <w:tcMar>
              <w:top w:w="240" w:type="dxa"/>
              <w:bottom w:w="240" w:type="dxa"/>
              <w:left w:w="240" w:type="dxa"/>
              <w:right w:w="240" w:type="dxa"/>
            </w:tcMar>
          </w:tcPr>
          <w:p>
            <w:pPr>
              <w:spacing w:before="0" w:after="40"/>
            </w:pPr>
            <w:r>
              <w:rPr>
                <w:rFonts w:ascii="Segoe UI" w:hAnsi="Segoe UI"/>
                <w:b/>
                <w:color w:val="A5D6A7"/>
                <w:sz w:val="17"/>
              </w:rPr>
              <w:t>PROPUESTA DE VALOR TECNOLÓGICO • PRESENTACIÓN EJECUTIVA</w:t>
            </w:r>
          </w:p>
          <w:p>
            <w:pPr>
              <w:spacing w:before="40" w:after="80"/>
            </w:pPr>
            <w:r>
              <w:rPr>
                <w:rFonts w:ascii="Segoe UI" w:hAnsi="Segoe UI"/>
                <w:b/>
                <w:color w:val="FFFFFF"/>
                <w:sz w:val="48"/>
              </w:rPr>
              <w:t>AgroSiembras</w:t>
            </w:r>
          </w:p>
          <w:p>
            <w:pPr>
              <w:spacing w:before="0" w:after="0"/>
            </w:pPr>
            <w:r>
              <w:rPr>
                <w:rFonts w:ascii="Segoe UI" w:hAnsi="Segoe UI"/>
                <w:color w:val="F1F8E9"/>
                <w:sz w:val="22"/>
              </w:rPr>
              <w:t>Ecosistema de Productividad Agronómica, Eliminación de Doble Digitación y Carga Directa a Access</w:t>
            </w:r>
          </w:p>
        </w:tc>
      </w:tr>
    </w:tbl>
    <w:p>
      <w:pPr>
        <w:spacing w:before="280" w:after="80"/>
      </w:pPr>
      <w:r>
        <w:rPr>
          <w:rFonts w:ascii="Segoe UI" w:hAnsi="Segoe UI"/>
          <w:b/>
          <w:color w:val="388E3C"/>
          <w:sz w:val="25"/>
        </w:rPr>
        <w:t xml:space="preserve">01. </w:t>
      </w:r>
      <w:r>
        <w:rPr>
          <w:rFonts w:ascii="Segoe UI" w:hAnsi="Segoe UI"/>
          <w:b/>
          <w:color w:val="1B5E20"/>
          <w:sz w:val="25"/>
        </w:rPr>
        <w:t>El Problema: Pérdida Crítica de Productividad y Cuello de Botella por Doble Digitación</w:t>
      </w:r>
    </w:p>
    <w:p>
      <w:pPr>
        <w:spacing w:before="40" w:after="120"/>
      </w:pPr>
      <w:r>
        <w:rPr>
          <w:rFonts w:ascii="Segoe UI" w:hAnsi="Segoe UI"/>
          <w:color w:val="263238"/>
          <w:sz w:val="19"/>
        </w:rPr>
        <w:t>El verdadero cuello de botella en la operación no radica en la conectividad del invernadero, sino en una severa ineficiencia de productividad del flujo tradicional: el Auxiliar de Siembras registraba a mano los datos en un formato físico en campo, este formato era trasladado al Área de Sistemas, y posteriormente el personal de Sistemas debía redigitar manualmente cada registro dentro de la base de datos Microsoft Access (bmempresarial2021.accdb). Esta duplicidad de tareas generaba altos costos ocultos:</w:t>
      </w:r>
    </w:p>
    <w:p>
      <w:pPr>
        <w:pStyle w:val="ListBullet"/>
        <w:spacing w:before="20" w:after="60"/>
      </w:pPr>
      <w:r>
        <w:rPr>
          <w:rFonts w:ascii="Segoe UI" w:hAnsi="Segoe UI"/>
          <w:b/>
          <w:color w:val="1B5E20"/>
          <w:sz w:val="18"/>
        </w:rPr>
        <w:t xml:space="preserve">Desperdicio de Horas Técnicas en Sistemas: </w:t>
      </w:r>
      <w:r>
        <w:rPr>
          <w:rFonts w:ascii="Segoe UI" w:hAnsi="Segoe UI"/>
          <w:color w:val="263238"/>
          <w:sz w:val="18"/>
        </w:rPr>
        <w:t>El equipo de Sistemas, cuyo enfoque debe ser el soporte tecnológico estratégico y la infraestructura, consumía decenas de horas mensuales actuando como digitadores mecánicos de planillas de siembra.</w:t>
      </w:r>
    </w:p>
    <w:p>
      <w:pPr>
        <w:pStyle w:val="ListBullet"/>
        <w:spacing w:before="20" w:after="60"/>
      </w:pPr>
      <w:r>
        <w:rPr>
          <w:rFonts w:ascii="Segoe UI" w:hAnsi="Segoe UI"/>
          <w:b/>
          <w:color w:val="1B5E20"/>
          <w:sz w:val="18"/>
        </w:rPr>
        <w:t xml:space="preserve">Cuello de Botella y Retraso en la Información: </w:t>
      </w:r>
      <w:r>
        <w:rPr>
          <w:rFonts w:ascii="Segoe UI" w:hAnsi="Segoe UI"/>
          <w:color w:val="263238"/>
          <w:sz w:val="18"/>
        </w:rPr>
        <w:t>Mientras las planillas esperaban turno de digitación en Sistemas, la gerencia y agronomía operaban 'a ciegas', recibiendo datos días después cuando cualquier error o desviación de densidad ya estaba consumado.</w:t>
      </w:r>
    </w:p>
    <w:p>
      <w:pPr>
        <w:pStyle w:val="ListBullet"/>
        <w:spacing w:before="20" w:after="60"/>
      </w:pPr>
      <w:r>
        <w:rPr>
          <w:rFonts w:ascii="Segoe UI" w:hAnsi="Segoe UI"/>
          <w:b/>
          <w:color w:val="1B5E20"/>
          <w:sz w:val="18"/>
        </w:rPr>
        <w:t xml:space="preserve">Alto Riesgo de Error Humano por Transcripción: </w:t>
      </w:r>
      <w:r>
        <w:rPr>
          <w:rFonts w:ascii="Segoe UI" w:hAnsi="Segoe UI"/>
          <w:color w:val="263238"/>
          <w:sz w:val="18"/>
        </w:rPr>
        <w:t>La doble digitación (papel de campo -&gt; interpretación caligráfica -&gt; digitación en Access) multiplicaba las inconsistencias en camas, densidades, variedades y operarios.</w:t>
      </w:r>
    </w:p>
    <w:p>
      <w:pPr>
        <w:pStyle w:val="ListBullet"/>
        <w:spacing w:before="20" w:after="60"/>
      </w:pPr>
      <w:r>
        <w:rPr>
          <w:rFonts w:ascii="Segoe UI" w:hAnsi="Segoe UI"/>
          <w:b/>
          <w:color w:val="1B5E20"/>
          <w:sz w:val="18"/>
        </w:rPr>
        <w:t xml:space="preserve">Improductividad en Campo del Auxiliar: </w:t>
      </w:r>
      <w:r>
        <w:rPr>
          <w:rFonts w:ascii="Segoe UI" w:hAnsi="Segoe UI"/>
          <w:color w:val="263238"/>
          <w:sz w:val="18"/>
        </w:rPr>
        <w:t>El auxiliar invertía tiempo valioso llenando planillas y cuadrando borradores a mano en vez de auditar la calidad, la técnica y el rendimiento de siembra en las camas.</w:t>
      </w:r>
    </w:p>
    <w:p>
      <w:pPr>
        <w:pStyle w:val="ListBullet"/>
        <w:spacing w:before="20" w:after="60"/>
      </w:pPr>
      <w:r>
        <w:rPr>
          <w:rFonts w:ascii="Segoe UI" w:hAnsi="Segoe UI"/>
          <w:b/>
          <w:color w:val="1B5E20"/>
          <w:sz w:val="18"/>
        </w:rPr>
        <w:t xml:space="preserve">Vulnerabilidad del Soporte en Papel: </w:t>
      </w:r>
      <w:r>
        <w:rPr>
          <w:rFonts w:ascii="Segoe UI" w:hAnsi="Segoe UI"/>
          <w:color w:val="263238"/>
          <w:sz w:val="18"/>
        </w:rPr>
        <w:t>Formatos físicos expuestos a humedad, suciedad o extravío antes de su entrega y transcripción en la oficina de Sistemas.</w:t>
      </w:r>
    </w:p>
    <w:p>
      <w:pPr>
        <w:spacing w:before="240" w:after="80"/>
      </w:pPr>
      <w:r>
        <w:rPr>
          <w:rFonts w:ascii="Segoe UI" w:hAnsi="Segoe UI"/>
          <w:b/>
          <w:color w:val="388E3C"/>
          <w:sz w:val="25"/>
        </w:rPr>
        <w:t xml:space="preserve">02. </w:t>
      </w:r>
      <w:r>
        <w:rPr>
          <w:rFonts w:ascii="Segoe UI" w:hAnsi="Segoe UI"/>
          <w:b/>
          <w:color w:val="1B5E20"/>
          <w:sz w:val="25"/>
        </w:rPr>
        <w:t>La Solución: ¿Qué es AgroSiembras?</w:t>
      </w:r>
    </w:p>
    <w:p>
      <w:pPr>
        <w:spacing w:before="40" w:after="120"/>
      </w:pPr>
      <w:r>
        <w:rPr>
          <w:rFonts w:ascii="Segoe UI" w:hAnsi="Segoe UI"/>
          <w:color w:val="263238"/>
          <w:sz w:val="19"/>
        </w:rPr>
        <w:t>AgroSiembras es una suite digital integral diseñada para conectar directamente la toma de datos en cama con la base de datos empresarial en Microsoft Access, eliminando el papel, suprimiendo la doble digitación y liberando al 100% al Área de Sistemas de labores mecánicas de transcripción. Se compone de dos módulos sincronizados:</w:t>
      </w:r>
    </w:p>
    <w:tbl>
      <w:tblPr>
        <w:tblW w:type="auto" w:w="0"/>
        <w:jc w:val="center"/>
        <w:tblLook w:firstColumn="1" w:firstRow="1" w:lastColumn="0" w:lastRow="0" w:noHBand="0" w:noVBand="1" w:val="04A0"/>
      </w:tblPr>
      <w:tblGrid>
        <w:gridCol w:w="4896"/>
        <w:gridCol w:w="4896"/>
      </w:tblGrid>
      <w:tr>
        <w:tc>
          <w:tcPr>
            <w:tcW w:type="dxa" w:w="4824"/>
            <w:shd w:fill="F8FAF6"/>
            <w:tcMar>
              <w:top w:w="140" w:type="dxa"/>
              <w:bottom w:w="140" w:type="dxa"/>
              <w:left w:w="160" w:type="dxa"/>
              <w:right w:w="160" w:type="dxa"/>
            </w:tcMar>
            <w:tcBorders>
              <w:top w:val="single" w:sz="6" w:space="0" w:color="C8E6C9"/>
              <w:left w:val="single" w:sz="6" w:space="0" w:color="C8E6C9"/>
              <w:bottom w:val="single" w:sz="6" w:space="0" w:color="C8E6C9"/>
              <w:right w:val="single" w:sz="6" w:space="0" w:color="C8E6C9"/>
            </w:tcBorders>
          </w:tcPr>
          <w:p>
            <w:pPr>
              <w:spacing w:before="0" w:after="40"/>
            </w:pPr>
            <w:r>
              <w:rPr>
                <w:rFonts w:ascii="Segoe UI" w:hAnsi="Segoe UI"/>
                <w:b/>
                <w:color w:val="1B5E20"/>
                <w:sz w:val="19"/>
              </w:rPr>
              <w:t>📱 App Móvil de Captura Ágil (Auxiliar de Siembras)</w:t>
            </w:r>
          </w:p>
          <w:p>
            <w:pPr>
              <w:spacing w:before="0" w:after="0"/>
            </w:pPr>
            <w:r>
              <w:rPr>
                <w:rFonts w:ascii="Segoe UI" w:hAnsi="Segoe UI"/>
                <w:color w:val="263238"/>
                <w:sz w:val="17"/>
              </w:rPr>
              <w:t>Desarrollada en Flutter para tablets y celulares. Permite al auxiliar registrar camas, conteo de esquejes/bulbos, líneas y operarios en 3 toques, con validación agronómica inmediata y arquitectura offline-first para trabajar de forma fluida e ininterrumpida.</w:t>
            </w:r>
          </w:p>
        </w:tc>
        <w:tc>
          <w:tcPr>
            <w:tcW w:type="dxa" w:w="4824"/>
            <w:shd w:fill="F8FAF6"/>
            <w:tcMar>
              <w:top w:w="140" w:type="dxa"/>
              <w:bottom w:w="140" w:type="dxa"/>
              <w:left w:w="160" w:type="dxa"/>
              <w:right w:w="160" w:type="dxa"/>
            </w:tcMar>
            <w:tcBorders>
              <w:top w:val="single" w:sz="6" w:space="0" w:color="C8E6C9"/>
              <w:left w:val="single" w:sz="6" w:space="0" w:color="C8E6C9"/>
              <w:bottom w:val="single" w:sz="6" w:space="0" w:color="C8E6C9"/>
              <w:right w:val="single" w:sz="6" w:space="0" w:color="C8E6C9"/>
            </w:tcBorders>
          </w:tcPr>
          <w:p>
            <w:pPr>
              <w:spacing w:before="0" w:after="40"/>
            </w:pPr>
            <w:r>
              <w:rPr>
                <w:rFonts w:ascii="Segoe UI" w:hAnsi="Segoe UI"/>
                <w:b/>
                <w:color w:val="1B5E20"/>
                <w:sz w:val="19"/>
              </w:rPr>
              <w:t>⚡ Backend &amp; Ingesta Automática a Microsoft Access</w:t>
            </w:r>
          </w:p>
          <w:p>
            <w:pPr>
              <w:spacing w:before="0" w:after="0"/>
            </w:pPr>
            <w:r>
              <w:rPr>
                <w:rFonts w:ascii="Segoe UI" w:hAnsi="Segoe UI"/>
                <w:color w:val="263238"/>
                <w:sz w:val="17"/>
              </w:rPr>
              <w:t>Servidor local de alta velocidad (FastAPI) que consolida los datos sincronizados e inserta directamente en las tablas oficiales de bmempresarial2021.accdb de forma transparente, con respaldos automáticos y sin requerir digitación de Sistemas.</w:t>
            </w:r>
          </w:p>
        </w:tc>
      </w:tr>
    </w:tbl>
    <w:p>
      <w:pPr>
        <w:spacing w:before="240" w:after="80"/>
      </w:pPr>
      <w:r>
        <w:rPr>
          <w:rFonts w:ascii="Segoe UI" w:hAnsi="Segoe UI"/>
          <w:b/>
          <w:color w:val="388E3C"/>
          <w:sz w:val="25"/>
        </w:rPr>
        <w:t xml:space="preserve">03. </w:t>
      </w:r>
      <w:r>
        <w:rPr>
          <w:rFonts w:ascii="Segoe UI" w:hAnsi="Segoe UI"/>
          <w:b/>
          <w:color w:val="1B5E20"/>
          <w:sz w:val="25"/>
        </w:rPr>
        <w:t>Pilares de Alto Valor Tecnológico, Operativo y Comercial</w:t>
      </w:r>
    </w:p>
    <w:tbl>
      <w:tblPr>
        <w:tblW w:type="auto" w:w="0"/>
        <w:jc w:val="center"/>
        <w:tblLook w:firstColumn="1" w:firstRow="1" w:lastColumn="0" w:lastRow="0" w:noHBand="0" w:noVBand="1" w:val="04A0"/>
      </w:tblPr>
      <w:tblGrid>
        <w:gridCol w:w="3264"/>
        <w:gridCol w:w="3264"/>
        <w:gridCol w:w="3264"/>
      </w:tblGrid>
      <w:tr>
        <w:tc>
          <w:tcPr>
            <w:tcW w:type="dxa" w:w="2592"/>
            <w:shd w:fill="1B5E20"/>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FFFFFF"/>
                <w:sz w:val="18"/>
              </w:rPr>
              <w:t>Pilar Clave</w:t>
            </w:r>
          </w:p>
        </w:tc>
        <w:tc>
          <w:tcPr>
            <w:tcW w:type="dxa" w:w="3600"/>
            <w:shd w:fill="1B5E20"/>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FFFFFF"/>
                <w:sz w:val="18"/>
              </w:rPr>
              <w:t>Capacidad Técnica</w:t>
            </w:r>
          </w:p>
        </w:tc>
        <w:tc>
          <w:tcPr>
            <w:tcW w:type="dxa" w:w="3600"/>
            <w:shd w:fill="1B5E20"/>
            <w:tcMar>
              <w:top w:w="100" w:type="dxa"/>
              <w:bottom w:w="10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FFFFFF"/>
                <w:sz w:val="18"/>
              </w:rPr>
              <w:t>Impacto Directo en el Negocio</w:t>
            </w:r>
          </w:p>
        </w:tc>
      </w:tr>
      <w:tr>
        <w:tc>
          <w:tcPr>
            <w:tcW w:type="dxa" w:w="2592"/>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1B5E20"/>
                <w:sz w:val="17"/>
              </w:rPr>
              <w:t>1. Cero Doble Digitación e Ingesta Directa a Access</w:t>
            </w:r>
          </w:p>
        </w:tc>
        <w:tc>
          <w:tcPr>
            <w:tcW w:type="dxa" w:w="3600"/>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Captura ágil en origen e inserción automatizada en la base de datos empresarial (bmempresarial2021.accdb) con motor SQLite local para autonomía total.</w:t>
            </w:r>
          </w:p>
        </w:tc>
        <w:tc>
          <w:tcPr>
            <w:tcW w:type="dxa" w:w="3600"/>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100% de eliminación de la digitación manual en Sistemas. El área de TI se desliga por completo de la carga de planillas y los datos quedan disponibles de inmediato.</w:t>
            </w:r>
          </w:p>
        </w:tc>
      </w:tr>
      <w:tr>
        <w:tc>
          <w:tcPr>
            <w:tcW w:type="dxa" w:w="2592"/>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1B5E20"/>
                <w:sz w:val="17"/>
              </w:rPr>
              <w:t>2. Blindaje Agronómico Inteligente en Origen</w:t>
            </w:r>
          </w:p>
        </w:tc>
        <w:tc>
          <w:tcPr>
            <w:tcW w:type="dxa" w:w="3600"/>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Cálculo automático de densidades máximas por cama, esquejes por línea y validación de reglas agronómicas antes del guardado.</w:t>
            </w:r>
          </w:p>
        </w:tc>
        <w:tc>
          <w:tcPr>
            <w:tcW w:type="dxa" w:w="3600"/>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Eliminación de errores de cálculo en campo y erradicación de datos inconsistentes en Access antes de que impacten la producción o el inventario.</w:t>
            </w:r>
          </w:p>
        </w:tc>
      </w:tr>
      <w:tr>
        <w:tc>
          <w:tcPr>
            <w:tcW w:type="dxa" w:w="2592"/>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1B5E20"/>
                <w:sz w:val="17"/>
              </w:rPr>
              <w:t>3. Trazabilidad Fina de Exportación</w:t>
            </w:r>
          </w:p>
        </w:tc>
        <w:tc>
          <w:tcPr>
            <w:tcW w:type="dxa" w:w="3600"/>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Formularios estructurados por flor: Lirios (Lote, Contenedor, Proveedor - Tabla 187), Pompones, Cremón, Matsumoto y Girasol.</w:t>
            </w:r>
          </w:p>
        </w:tc>
        <w:tc>
          <w:tcPr>
            <w:tcW w:type="dxa" w:w="3600"/>
            <w:shd w:fill="F1F8E9"/>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Cero pérdida de información de proveedores y lotes importados. Información 100% fidedigna y auditable para certificaciones y comercio exterior.</w:t>
            </w:r>
          </w:p>
        </w:tc>
      </w:tr>
      <w:tr>
        <w:tc>
          <w:tcPr>
            <w:tcW w:type="dxa" w:w="2592"/>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b/>
                <w:color w:val="1B5E20"/>
                <w:sz w:val="17"/>
              </w:rPr>
              <w:t>4. Métricas de Rendimiento y Reportes Inmediatos</w:t>
            </w:r>
          </w:p>
        </w:tc>
        <w:tc>
          <w:tcPr>
            <w:tcW w:type="dxa" w:w="3600"/>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Auditoría digital en vivo de tallos y camas sembradas por operario, con generación de reportes corporativos en PDF con un clic.</w:t>
            </w:r>
          </w:p>
        </w:tc>
        <w:tc>
          <w:tcPr>
            <w:tcW w:type="dxa" w:w="3600"/>
            <w:shd w:fill="FFFFFF"/>
            <w:tcMar>
              <w:top w:w="80" w:type="dxa"/>
              <w:bottom w:w="80" w:type="dxa"/>
              <w:left w:w="120" w:type="dxa"/>
              <w:right w:w="120" w:type="dxa"/>
            </w:tcMar>
            <w:tcBorders>
              <w:top w:val="single" w:sz="4" w:space="0" w:color="E0E0E0"/>
              <w:left w:val="single" w:sz="4" w:space="0" w:color="E0E0E0"/>
              <w:bottom w:val="single" w:sz="4" w:space="0" w:color="E0E0E0"/>
              <w:right w:val="single" w:sz="4" w:space="0" w:color="E0E0E0"/>
            </w:tcBorders>
          </w:tcPr>
          <w:p>
            <w:pPr>
              <w:spacing w:before="0" w:after="0"/>
            </w:pPr>
            <w:r>
              <w:rPr>
                <w:rFonts w:ascii="Segoe UI" w:hAnsi="Segoe UI"/>
                <w:color w:val="263238"/>
                <w:sz w:val="17"/>
              </w:rPr>
              <w:t>Liquidación ágil y transparente de labores agrícolas, motivación al personal y visibilidad gerencial al instante sin esperar turnos de digitación.</w:t>
            </w:r>
          </w:p>
        </w:tc>
      </w:tr>
    </w:tbl>
    <w:p>
      <w:pPr>
        <w:spacing w:before="240" w:after="80"/>
      </w:pPr>
      <w:r>
        <w:rPr>
          <w:rFonts w:ascii="Segoe UI" w:hAnsi="Segoe UI"/>
          <w:b/>
          <w:color w:val="388E3C"/>
          <w:sz w:val="25"/>
        </w:rPr>
        <w:t xml:space="preserve">04. </w:t>
      </w:r>
      <w:r>
        <w:rPr>
          <w:rFonts w:ascii="Segoe UI" w:hAnsi="Segoe UI"/>
          <w:b/>
          <w:color w:val="1B5E20"/>
          <w:sz w:val="25"/>
        </w:rPr>
        <w:t>Impacto Operativo, Productividad y Retorno de Inversión (ROI)</w:t>
      </w:r>
    </w:p>
    <w:tbl>
      <w:tblPr>
        <w:tblW w:type="auto" w:w="0"/>
        <w:jc w:val="center"/>
        <w:tblLook w:firstColumn="1" w:firstRow="1" w:lastColumn="0" w:lastRow="0" w:noHBand="0" w:noVBand="1" w:val="04A0"/>
      </w:tblPr>
      <w:tblGrid>
        <w:gridCol w:w="2448"/>
        <w:gridCol w:w="2448"/>
        <w:gridCol w:w="2448"/>
        <w:gridCol w:w="2448"/>
      </w:tblGrid>
      <w:tr>
        <w:tc>
          <w:tcPr>
            <w:tcW w:type="dxa" w:w="2448"/>
            <w:shd w:fill="F1F8E9"/>
            <w:tcMar>
              <w:top w:w="120" w:type="dxa"/>
              <w:bottom w:w="120" w:type="dxa"/>
              <w:left w:w="100" w:type="dxa"/>
              <w:right w:w="100" w:type="dxa"/>
            </w:tcMar>
            <w:tcBorders>
              <w:top w:val="single" w:sz="6" w:space="0" w:color="C8E6C9"/>
              <w:left w:val="single" w:sz="6" w:space="0" w:color="C8E6C9"/>
              <w:bottom w:val="single" w:sz="6" w:space="0" w:color="C8E6C9"/>
              <w:right w:val="single" w:sz="6" w:space="0" w:color="C8E6C9"/>
            </w:tcBorders>
          </w:tcPr>
          <w:p>
            <w:pPr>
              <w:spacing w:before="0" w:after="20"/>
            </w:pPr>
            <w:r>
              <w:rPr>
                <w:rFonts w:ascii="Segoe UI" w:hAnsi="Segoe UI"/>
                <w:b/>
                <w:color w:val="1B5E20"/>
                <w:sz w:val="27"/>
              </w:rPr>
              <w:t>0 HORAS</w:t>
            </w:r>
          </w:p>
          <w:p>
            <w:pPr>
              <w:spacing w:before="0" w:after="40"/>
            </w:pPr>
            <w:r>
              <w:rPr>
                <w:rFonts w:ascii="Segoe UI" w:hAnsi="Segoe UI"/>
                <w:b/>
                <w:color w:val="388E3C"/>
                <w:sz w:val="17"/>
              </w:rPr>
              <w:t>En Sistemas</w:t>
            </w:r>
          </w:p>
          <w:p>
            <w:pPr>
              <w:spacing w:before="0" w:after="0"/>
            </w:pPr>
            <w:r>
              <w:rPr>
                <w:rFonts w:ascii="Segoe UI" w:hAnsi="Segoe UI"/>
                <w:color w:val="64748B"/>
                <w:sz w:val="15"/>
              </w:rPr>
              <w:t>Personal de TI 100% liberado de transcribir planillas a Access.</w:t>
            </w:r>
          </w:p>
        </w:tc>
        <w:tc>
          <w:tcPr>
            <w:tcW w:type="dxa" w:w="2448"/>
            <w:shd w:fill="F1F8E9"/>
            <w:tcMar>
              <w:top w:w="120" w:type="dxa"/>
              <w:bottom w:w="120" w:type="dxa"/>
              <w:left w:w="100" w:type="dxa"/>
              <w:right w:w="100" w:type="dxa"/>
            </w:tcMar>
            <w:tcBorders>
              <w:top w:val="single" w:sz="6" w:space="0" w:color="C8E6C9"/>
              <w:left w:val="single" w:sz="6" w:space="0" w:color="C8E6C9"/>
              <w:bottom w:val="single" w:sz="6" w:space="0" w:color="C8E6C9"/>
              <w:right w:val="single" w:sz="6" w:space="0" w:color="C8E6C9"/>
            </w:tcBorders>
          </w:tcPr>
          <w:p>
            <w:pPr>
              <w:spacing w:before="0" w:after="20"/>
            </w:pPr>
            <w:r>
              <w:rPr>
                <w:rFonts w:ascii="Segoe UI" w:hAnsi="Segoe UI"/>
                <w:b/>
                <w:color w:val="1B5E20"/>
                <w:sz w:val="27"/>
              </w:rPr>
              <w:t>100%</w:t>
            </w:r>
          </w:p>
          <w:p>
            <w:pPr>
              <w:spacing w:before="0" w:after="40"/>
            </w:pPr>
            <w:r>
              <w:rPr>
                <w:rFonts w:ascii="Segoe UI" w:hAnsi="Segoe UI"/>
                <w:b/>
                <w:color w:val="388E3C"/>
                <w:sz w:val="17"/>
              </w:rPr>
              <w:t>Cero Doble Digitación</w:t>
            </w:r>
          </w:p>
          <w:p>
            <w:pPr>
              <w:spacing w:before="0" w:after="0"/>
            </w:pPr>
            <w:r>
              <w:rPr>
                <w:rFonts w:ascii="Segoe UI" w:hAnsi="Segoe UI"/>
                <w:color w:val="64748B"/>
                <w:sz w:val="15"/>
              </w:rPr>
              <w:t>Erradicación total de formatos de papel y de errores de caligrafía.</w:t>
            </w:r>
          </w:p>
        </w:tc>
        <w:tc>
          <w:tcPr>
            <w:tcW w:type="dxa" w:w="2448"/>
            <w:shd w:fill="F1F8E9"/>
            <w:tcMar>
              <w:top w:w="120" w:type="dxa"/>
              <w:bottom w:w="120" w:type="dxa"/>
              <w:left w:w="100" w:type="dxa"/>
              <w:right w:w="100" w:type="dxa"/>
            </w:tcMar>
            <w:tcBorders>
              <w:top w:val="single" w:sz="6" w:space="0" w:color="C8E6C9"/>
              <w:left w:val="single" w:sz="6" w:space="0" w:color="C8E6C9"/>
              <w:bottom w:val="single" w:sz="6" w:space="0" w:color="C8E6C9"/>
              <w:right w:val="single" w:sz="6" w:space="0" w:color="C8E6C9"/>
            </w:tcBorders>
          </w:tcPr>
          <w:p>
            <w:pPr>
              <w:spacing w:before="0" w:after="20"/>
            </w:pPr>
            <w:r>
              <w:rPr>
                <w:rFonts w:ascii="Segoe UI" w:hAnsi="Segoe UI"/>
                <w:b/>
                <w:color w:val="1B5E20"/>
                <w:sz w:val="27"/>
              </w:rPr>
              <w:t>+35%</w:t>
            </w:r>
          </w:p>
          <w:p>
            <w:pPr>
              <w:spacing w:before="0" w:after="40"/>
            </w:pPr>
            <w:r>
              <w:rPr>
                <w:rFonts w:ascii="Segoe UI" w:hAnsi="Segoe UI"/>
                <w:b/>
                <w:color w:val="388E3C"/>
                <w:sz w:val="17"/>
              </w:rPr>
              <w:t>Productividad Neta</w:t>
            </w:r>
          </w:p>
          <w:p>
            <w:pPr>
              <w:spacing w:before="0" w:after="0"/>
            </w:pPr>
            <w:r>
              <w:rPr>
                <w:rFonts w:ascii="Segoe UI" w:hAnsi="Segoe UI"/>
                <w:color w:val="64748B"/>
                <w:sz w:val="15"/>
              </w:rPr>
              <w:t>Horas recuperadas para el auxiliar en campo y el área de sistemas.</w:t>
            </w:r>
          </w:p>
        </w:tc>
        <w:tc>
          <w:tcPr>
            <w:tcW w:type="dxa" w:w="2448"/>
            <w:shd w:fill="F1F8E9"/>
            <w:tcMar>
              <w:top w:w="120" w:type="dxa"/>
              <w:bottom w:w="120" w:type="dxa"/>
              <w:left w:w="100" w:type="dxa"/>
              <w:right w:w="100" w:type="dxa"/>
            </w:tcMar>
            <w:tcBorders>
              <w:top w:val="single" w:sz="6" w:space="0" w:color="C8E6C9"/>
              <w:left w:val="single" w:sz="6" w:space="0" w:color="C8E6C9"/>
              <w:bottom w:val="single" w:sz="6" w:space="0" w:color="C8E6C9"/>
              <w:right w:val="single" w:sz="6" w:space="0" w:color="C8E6C9"/>
            </w:tcBorders>
          </w:tcPr>
          <w:p>
            <w:pPr>
              <w:spacing w:before="0" w:after="20"/>
            </w:pPr>
            <w:r>
              <w:rPr>
                <w:rFonts w:ascii="Segoe UI" w:hAnsi="Segoe UI"/>
                <w:b/>
                <w:color w:val="1B5E20"/>
                <w:sz w:val="27"/>
              </w:rPr>
              <w:t>EN VIVO</w:t>
            </w:r>
          </w:p>
          <w:p>
            <w:pPr>
              <w:spacing w:before="0" w:after="40"/>
            </w:pPr>
            <w:r>
              <w:rPr>
                <w:rFonts w:ascii="Segoe UI" w:hAnsi="Segoe UI"/>
                <w:b/>
                <w:color w:val="388E3C"/>
                <w:sz w:val="17"/>
              </w:rPr>
              <w:t>Datos en Access</w:t>
            </w:r>
          </w:p>
          <w:p>
            <w:pPr>
              <w:spacing w:before="0" w:after="0"/>
            </w:pPr>
            <w:r>
              <w:rPr>
                <w:rFonts w:ascii="Segoe UI" w:hAnsi="Segoe UI"/>
                <w:color w:val="64748B"/>
                <w:sz w:val="15"/>
              </w:rPr>
              <w:t>Disponibilidad inmediata para gerencia, costeo y liquidación.</w:t>
            </w:r>
          </w:p>
        </w:tc>
      </w:tr>
    </w:tbl>
    <w:p>
      <w:pPr>
        <w:spacing w:before="240" w:after="80"/>
      </w:pPr>
      <w:r>
        <w:rPr>
          <w:rFonts w:ascii="Segoe UI" w:hAnsi="Segoe UI"/>
          <w:b/>
          <w:color w:val="388E3C"/>
          <w:sz w:val="25"/>
        </w:rPr>
        <w:t xml:space="preserve">05. </w:t>
      </w:r>
      <w:r>
        <w:rPr>
          <w:rFonts w:ascii="Segoe UI" w:hAnsi="Segoe UI"/>
          <w:b/>
          <w:color w:val="1B5E20"/>
          <w:sz w:val="25"/>
        </w:rPr>
        <w:t>Simplicidad Operativa: Flujo de Trabajo en 3 Pasos</w:t>
      </w:r>
    </w:p>
    <w:p>
      <w:pPr>
        <w:spacing w:before="40" w:after="60"/>
      </w:pPr>
      <w:r>
        <w:rPr>
          <w:rFonts w:ascii="Segoe UI" w:hAnsi="Segoe UI"/>
          <w:b/>
          <w:color w:val="1B5E20"/>
          <w:sz w:val="18"/>
        </w:rPr>
        <w:t xml:space="preserve">✔ Paso 1: Captura Ágil en Cama por el Auxiliar: </w:t>
      </w:r>
      <w:r>
        <w:rPr>
          <w:rFonts w:ascii="Segoe UI" w:hAnsi="Segoe UI"/>
          <w:color w:val="263238"/>
          <w:sz w:val="18"/>
        </w:rPr>
        <w:t>El auxiliar selecciona en pocos toques el Bloque, la Cama, la Variedad y el Operario desde la app móvil, eliminando por completo el llenado de formatos físicos.</w:t>
      </w:r>
    </w:p>
    <w:p>
      <w:pPr>
        <w:spacing w:before="40" w:after="60"/>
      </w:pPr>
      <w:r>
        <w:rPr>
          <w:rFonts w:ascii="Segoe UI" w:hAnsi="Segoe UI"/>
          <w:b/>
          <w:color w:val="1B5E20"/>
          <w:sz w:val="18"/>
        </w:rPr>
        <w:t xml:space="preserve">✔ Paso 2: Validación Agronómica en Tiempo Real: </w:t>
      </w:r>
      <w:r>
        <w:rPr>
          <w:rFonts w:ascii="Segoe UI" w:hAnsi="Segoe UI"/>
          <w:color w:val="263238"/>
          <w:sz w:val="18"/>
        </w:rPr>
        <w:t>La aplicación calcula de inmediato si la densidad de esquejes y líneas cumple los parámetros técnicos, alertando y previniendo anomalías antes de permitir el guardado.</w:t>
      </w:r>
    </w:p>
    <w:p>
      <w:pPr>
        <w:spacing w:before="40" w:after="60"/>
      </w:pPr>
      <w:r>
        <w:rPr>
          <w:rFonts w:ascii="Segoe UI" w:hAnsi="Segoe UI"/>
          <w:b/>
          <w:color w:val="1B5E20"/>
          <w:sz w:val="18"/>
        </w:rPr>
        <w:t xml:space="preserve">✔ Paso 3: Carga Automática a Access y Emisión de Reportes: </w:t>
      </w:r>
      <w:r>
        <w:rPr>
          <w:rFonts w:ascii="Segoe UI" w:hAnsi="Segoe UI"/>
          <w:color w:val="263238"/>
          <w:sz w:val="18"/>
        </w:rPr>
        <w:t>Al sincronizar, los registros ingresan de forma autónoma a Microsoft Access (bmempresarial2021.accdb) y se generan reportes oficiales en PDF listos para liquidación y auditoría, sin requerir transcripción de Sistemas.</w:t>
      </w:r>
    </w:p>
    <w:tbl>
      <w:tblPr>
        <w:tblW w:type="auto" w:w="0"/>
        <w:jc w:val="center"/>
        <w:tblLook w:firstColumn="1" w:firstRow="1" w:lastColumn="0" w:lastRow="0" w:noHBand="0" w:noVBand="1" w:val="04A0"/>
      </w:tblPr>
      <w:tblGrid>
        <w:gridCol w:w="9792"/>
      </w:tblGrid>
      <w:tr>
        <w:tc>
          <w:tcPr>
            <w:tcW w:type="dxa" w:w="9792"/>
            <w:shd w:fill="E8F5E9"/>
            <w:tcMar>
              <w:top w:w="140" w:type="dxa"/>
              <w:bottom w:w="140" w:type="dxa"/>
              <w:left w:w="160" w:type="dxa"/>
              <w:right w:w="160" w:type="dxa"/>
            </w:tcMar>
            <w:tcBorders>
              <w:top w:val="single" w:sz="6" w:space="0" w:color="81C784"/>
              <w:left w:val="single" w:sz="6" w:space="0" w:color="81C784"/>
              <w:bottom w:val="single" w:sz="6" w:space="0" w:color="81C784"/>
              <w:right w:val="single" w:sz="6" w:space="0" w:color="81C784"/>
            </w:tcBorders>
          </w:tcPr>
          <w:p>
            <w:pPr>
              <w:spacing w:before="0" w:after="40"/>
            </w:pPr>
            <w:r>
              <w:rPr>
                <w:rFonts w:ascii="Segoe UI" w:hAnsi="Segoe UI"/>
                <w:b/>
                <w:color w:val="1B5E20"/>
                <w:sz w:val="17"/>
              </w:rPr>
              <w:t>MENSAJE CLAVE DE CIERRE EJECUTIVO</w:t>
            </w:r>
          </w:p>
          <w:p>
            <w:pPr>
              <w:spacing w:before="40" w:after="0"/>
            </w:pPr>
            <w:r>
              <w:rPr>
                <w:rFonts w:ascii="Segoe UI" w:hAnsi="Segoe UI"/>
                <w:b/>
                <w:i/>
                <w:color w:val="1B5E20"/>
                <w:sz w:val="19"/>
              </w:rPr>
              <w:t>"El verdadero valor de la tecnología no reside solo en digitalizar el campo, sino en suprimir los cuellos de botella que desgastan la productividad de la empresa. AgroSiembras conecta directamente la siembra agronómica con la base de datos empresarial en Access, liberando al Área de Sistemas de la digitación manual y entregando datos exactos en tiempo real desde el primer día."</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