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3978D" w14:textId="77777777" w:rsidR="002225E9" w:rsidRPr="00FB314E" w:rsidRDefault="00E76C61">
      <w:pPr>
        <w:spacing w:after="40"/>
        <w:rPr>
          <w:lang w:val="es-CO"/>
        </w:rPr>
      </w:pPr>
      <w:r w:rsidRPr="00FB314E">
        <w:rPr>
          <w:rFonts w:ascii="Calibri" w:hAnsi="Calibri"/>
          <w:b/>
          <w:color w:val="558B2F"/>
          <w:sz w:val="19"/>
          <w:lang w:val="es-CO"/>
        </w:rPr>
        <w:t>BUENAVISTA FLOWERS • SISTEMA DE GESTIÓN INTEGRAL DE SIEMBRAS</w:t>
      </w:r>
    </w:p>
    <w:p w14:paraId="1A99F157" w14:textId="77777777" w:rsidR="002225E9" w:rsidRPr="00FB314E" w:rsidRDefault="00E76C61">
      <w:pPr>
        <w:spacing w:before="40" w:after="80"/>
        <w:rPr>
          <w:lang w:val="es-CO"/>
        </w:rPr>
      </w:pPr>
      <w:r w:rsidRPr="00FB314E">
        <w:rPr>
          <w:rFonts w:ascii="Calibri" w:hAnsi="Calibri"/>
          <w:b/>
          <w:color w:val="1B5E20"/>
          <w:sz w:val="32"/>
          <w:lang w:val="es-CO"/>
        </w:rPr>
        <w:t>MANUAL DE SOPORTE TÉCNICO, INFRAESTRUCTURA Y MANTENIMIENTO</w:t>
      </w:r>
    </w:p>
    <w:p w14:paraId="1ECC5207" w14:textId="77777777" w:rsidR="002225E9" w:rsidRPr="00FB314E" w:rsidRDefault="00E76C61">
      <w:pPr>
        <w:rPr>
          <w:lang w:val="es-CO"/>
        </w:rPr>
      </w:pPr>
      <w:r w:rsidRPr="00FB314E">
        <w:rPr>
          <w:rFonts w:ascii="Calibri" w:hAnsi="Calibri"/>
          <w:i/>
          <w:color w:val="546E7A"/>
          <w:sz w:val="20"/>
          <w:lang w:val="es-CO"/>
        </w:rPr>
        <w:t>Especificación de Arquitectura, Concurrencia en MS Access, API REST, SQLite y Resolución de Fallas</w:t>
      </w:r>
    </w:p>
    <w:tbl>
      <w:tblPr>
        <w:tblW w:w="0" w:type="auto"/>
        <w:jc w:val="center"/>
        <w:tblBorders>
          <w:top w:val="single" w:sz="6" w:space="0" w:color="C5E1A5"/>
          <w:left w:val="single" w:sz="6" w:space="0" w:color="C5E1A5"/>
          <w:bottom w:val="single" w:sz="6" w:space="0" w:color="C5E1A5"/>
          <w:right w:val="single" w:sz="6" w:space="0" w:color="C5E1A5"/>
          <w:insideH w:val="single" w:sz="6" w:space="0" w:color="C5E1A5"/>
          <w:insideV w:val="single" w:sz="6" w:space="0" w:color="C5E1A5"/>
        </w:tblBorders>
        <w:tblLayout w:type="fixed"/>
        <w:tblLook w:val="04A0" w:firstRow="1" w:lastRow="0" w:firstColumn="1" w:lastColumn="0" w:noHBand="0" w:noVBand="1"/>
      </w:tblPr>
      <w:tblGrid>
        <w:gridCol w:w="9648"/>
      </w:tblGrid>
      <w:tr w:rsidR="002225E9" w:rsidRPr="00FB314E" w14:paraId="2EBF10C6" w14:textId="77777777">
        <w:trPr>
          <w:jc w:val="center"/>
        </w:trPr>
        <w:tc>
          <w:tcPr>
            <w:tcW w:w="9648" w:type="dxa"/>
            <w:shd w:val="clear" w:color="auto" w:fill="F9FBE7"/>
            <w:tcMar>
              <w:top w:w="130" w:type="dxa"/>
              <w:left w:w="160" w:type="dxa"/>
              <w:bottom w:w="130" w:type="dxa"/>
              <w:right w:w="160" w:type="dxa"/>
            </w:tcMar>
          </w:tcPr>
          <w:p>
            <w:r>
              <w:t>FICHA TÉCNICA Y CONTROL DE DESARROLLO</w:t>
              <w:br/>
              <w:t>• Organización: Buenavista Flowers</w:t>
              <w:br/>
              <w:t>• Tipo de Documento: Manual Técnico de Infraestructura y Soporte de TI</w:t>
              <w:br/>
              <w:t>• Código Oficial: MAN-SOP-TI-2026-V1</w:t>
              <w:br/>
              <w:t>• Desarrollador de Software: Fernan Julián Pérez Gutiérrez (@FernanJPG1)</w:t>
              <w:br/>
              <w:t>• Contacto del Autor: fernansecr@gmail.com</w:t>
              <w:br/>
              <w:t>• Versión del Sistema: 1.1.0 (Actualizada: Auditoría Bilateral, Desacoplamiento de Propagación y Gobernanza a 2 Días - Octubre 2026)</w:t>
              <w:br/>
            </w:r>
          </w:p>
        </w:tc>
      </w:tr>
    </w:tbl>
    <w:p w14:paraId="72F34B80" w14:textId="77777777" w:rsidR="002225E9" w:rsidRPr="00FB314E" w:rsidRDefault="002225E9">
      <w:pPr>
        <w:spacing w:after="120"/>
        <w:rPr>
          <w:lang w:val="es-CO"/>
        </w:rPr>
      </w:pPr>
    </w:p>
    <w:p w14:paraId="7AA469F4" w14:textId="77777777" w:rsidR="002225E9" w:rsidRPr="00FB314E" w:rsidRDefault="00E76C61">
      <w:pPr>
        <w:pStyle w:val="Ttulo1"/>
        <w:spacing w:before="240" w:after="80"/>
        <w:rPr>
          <w:lang w:val="es-CO"/>
        </w:rPr>
      </w:pPr>
      <w:r w:rsidRPr="00FB314E">
        <w:rPr>
          <w:rFonts w:ascii="Calibri" w:hAnsi="Calibri"/>
          <w:color w:val="1B5E20"/>
          <w:sz w:val="25"/>
          <w:lang w:val="es-CO"/>
        </w:rPr>
        <w:t>Índice. Contenido del Manual Técnico</w:t>
      </w:r>
    </w:p>
    <w:p w14:paraId="1081AA9B" w14:textId="77777777" w:rsidR="002225E9" w:rsidRPr="00FB314E" w:rsidRDefault="00E76C61">
      <w:pPr>
        <w:spacing w:after="4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• </w:t>
      </w:r>
      <w:r w:rsidRPr="00FB314E">
        <w:rPr>
          <w:rFonts w:ascii="Calibri" w:hAnsi="Calibri"/>
          <w:color w:val="263238"/>
          <w:sz w:val="19"/>
          <w:lang w:val="es-CO"/>
        </w:rPr>
        <w:t>1. Arquitectura General y Flujo de Datos del Ecosistema</w:t>
      </w:r>
    </w:p>
    <w:p w14:paraId="597AC49D" w14:textId="77777777" w:rsidR="002225E9" w:rsidRPr="00FB314E" w:rsidRDefault="00E76C61">
      <w:pPr>
        <w:spacing w:after="4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• </w:t>
      </w:r>
      <w:r w:rsidRPr="00FB314E">
        <w:rPr>
          <w:rFonts w:ascii="Calibri" w:hAnsi="Calibri"/>
          <w:color w:val="263238"/>
          <w:sz w:val="19"/>
          <w:lang w:val="es-CO"/>
        </w:rPr>
        <w:t>2. Requisitos de Infraestructura y Topología de Red</w:t>
      </w:r>
    </w:p>
    <w:p w14:paraId="55D59FBD" w14:textId="77777777" w:rsidR="002225E9" w:rsidRPr="00FB314E" w:rsidRDefault="00E76C61">
      <w:pPr>
        <w:spacing w:after="4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• </w:t>
      </w:r>
      <w:r w:rsidRPr="00FB314E">
        <w:rPr>
          <w:rFonts w:ascii="Calibri" w:hAnsi="Calibri"/>
          <w:color w:val="263238"/>
          <w:sz w:val="19"/>
          <w:lang w:val="es-CO"/>
        </w:rPr>
        <w:t>3. Instalación, Configuración y Despliegue del Backend (FastAPI)</w:t>
      </w:r>
    </w:p>
    <w:p w14:paraId="7F5DF44B" w14:textId="77777777" w:rsidR="002225E9" w:rsidRPr="00FB314E" w:rsidRDefault="00E76C61">
      <w:pPr>
        <w:spacing w:after="40"/>
        <w:rPr>
          <w:lang w:val="es-CO"/>
        </w:rPr>
      </w:pPr>
      <w:r>
        <w:t>• 4. Base de Datos Empresarial Microsoft Access (Concurrencia, Bloqueo a 2 Días, Trazabilidad Bilateral y Backups)</w:t>
      </w:r>
    </w:p>
    <w:p w14:paraId="5271CAE5" w14:textId="77777777" w:rsidR="002225E9" w:rsidRPr="00FB314E" w:rsidRDefault="00E76C61">
      <w:pPr>
        <w:spacing w:after="4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• </w:t>
      </w:r>
      <w:r w:rsidRPr="00FB314E">
        <w:rPr>
          <w:rFonts w:ascii="Calibri" w:hAnsi="Calibri"/>
          <w:color w:val="263238"/>
          <w:sz w:val="19"/>
          <w:lang w:val="es-CO"/>
        </w:rPr>
        <w:t>5. Base de Datos Local en Dispositivos Android (SQLite WAL y Triple Respaldo JSON)</w:t>
      </w:r>
    </w:p>
    <w:p w14:paraId="72819186" w14:textId="77777777" w:rsidR="002225E9" w:rsidRPr="00FB314E" w:rsidRDefault="00E76C61">
      <w:pPr>
        <w:spacing w:after="4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• </w:t>
      </w:r>
      <w:r w:rsidRPr="00FB314E">
        <w:rPr>
          <w:rFonts w:ascii="Calibri" w:hAnsi="Calibri"/>
          <w:color w:val="263238"/>
          <w:sz w:val="19"/>
          <w:lang w:val="es-CO"/>
        </w:rPr>
        <w:t>6. Especificación de la API REST y Contrato de Sincronización</w:t>
      </w:r>
    </w:p>
    <w:p w14:paraId="6FB8B5D1" w14:textId="77777777" w:rsidR="002225E9" w:rsidRPr="00FB314E" w:rsidRDefault="00E76C61">
      <w:pPr>
        <w:spacing w:after="4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• </w:t>
      </w:r>
      <w:r w:rsidRPr="00FB314E">
        <w:rPr>
          <w:rFonts w:ascii="Calibri" w:hAnsi="Calibri"/>
          <w:color w:val="263238"/>
          <w:sz w:val="19"/>
          <w:lang w:val="es-CO"/>
        </w:rPr>
        <w:t>7. Matriz de Resolución de Problemas y Troubleshooting de Soporte</w:t>
      </w:r>
    </w:p>
    <w:p w14:paraId="1C2401BF" w14:textId="77777777" w:rsidR="002225E9" w:rsidRPr="00FB314E" w:rsidRDefault="00E76C61">
      <w:pPr>
        <w:spacing w:after="4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• </w:t>
      </w:r>
      <w:r w:rsidRPr="00FB314E">
        <w:rPr>
          <w:rFonts w:ascii="Calibri" w:hAnsi="Calibri"/>
          <w:color w:val="263238"/>
          <w:sz w:val="19"/>
          <w:lang w:val="es-CO"/>
        </w:rPr>
        <w:t>8. Checklist de Mantenimiento Preventivo Periódico</w:t>
      </w:r>
    </w:p>
    <w:p w14:paraId="2C63C8BD" w14:textId="77777777" w:rsidR="002225E9" w:rsidRPr="00FB314E" w:rsidRDefault="00E76C61">
      <w:pPr>
        <w:pStyle w:val="Ttulo1"/>
        <w:spacing w:before="240" w:after="80"/>
        <w:rPr>
          <w:lang w:val="es-CO"/>
        </w:rPr>
      </w:pPr>
      <w:r w:rsidRPr="00FB314E">
        <w:rPr>
          <w:rFonts w:ascii="Calibri" w:hAnsi="Calibri"/>
          <w:color w:val="1B5E20"/>
          <w:sz w:val="25"/>
          <w:lang w:val="es-CO"/>
        </w:rPr>
        <w:t>1. Arquitectura General y Flujo de Datos del Ecosistema</w:t>
      </w:r>
    </w:p>
    <w:p w14:paraId="0B18D806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color w:val="263238"/>
          <w:sz w:val="19"/>
          <w:lang w:val="es-CO"/>
        </w:rPr>
        <w:t>El sistema implementa un patrón híbrido Cliente-Servidor Offline-First. La capa cliente (Flutter) gestiona la persistencia local en SQLite con modo WAL y triple redundancia JSON. La capa servidora (FastAPI en Windows) administra la base de datos empresarial Microsoft Access (bmempresarial2021.accdb) mediante serialización estricta por hilos (threading.Lock) y control transaccional.</w:t>
      </w:r>
    </w:p>
    <w:tbl>
      <w:tblPr>
        <w:tblW w:w="0" w:type="auto"/>
        <w:jc w:val="center"/>
        <w:tblBorders>
          <w:top w:val="single" w:sz="4" w:space="0" w:color="CFD8DC"/>
          <w:left w:val="single" w:sz="4" w:space="0" w:color="CFD8DC"/>
          <w:bottom w:val="single" w:sz="4" w:space="0" w:color="CFD8DC"/>
          <w:right w:val="single" w:sz="4" w:space="0" w:color="CFD8DC"/>
          <w:insideH w:val="single" w:sz="4" w:space="0" w:color="CFD8DC"/>
          <w:insideV w:val="single" w:sz="4" w:space="0" w:color="CFD8DC"/>
        </w:tblBorders>
        <w:tblLayout w:type="fixed"/>
        <w:tblLook w:val="04A0" w:firstRow="1" w:lastRow="0" w:firstColumn="1" w:lastColumn="0" w:noHBand="0" w:noVBand="1"/>
      </w:tblPr>
      <w:tblGrid>
        <w:gridCol w:w="9648"/>
      </w:tblGrid>
      <w:tr w:rsidR="002225E9" w:rsidRPr="00FB314E" w14:paraId="2BA3563D" w14:textId="77777777">
        <w:trPr>
          <w:jc w:val="center"/>
        </w:trPr>
        <w:tc>
          <w:tcPr>
            <w:tcW w:w="9648" w:type="dxa"/>
            <w:shd w:val="clear" w:color="auto" w:fill="ECEF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3241E18" w14:textId="77777777" w:rsidR="002225E9" w:rsidRPr="00FB314E" w:rsidRDefault="00E76C61">
            <w:pPr>
              <w:spacing w:after="0" w:line="252" w:lineRule="auto"/>
              <w:rPr>
                <w:lang w:val="es-CO"/>
              </w:rPr>
            </w:pP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t>+-----------------------------------------------------------------------+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t>|                       DISPOSITIVOS ANDROID DE CAMPO                      |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|   UI Flutter -&gt; SQLite (WAL Mode) &lt;-&gt; Persistent Backup (JSON)        |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+-----------------------------------------------------------------------+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 xml:space="preserve">                                  |  HTTP REST (X-API-Key)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 xml:space="preserve">                                  v  Puerto 8000 (Wi-Fi Local)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+-----------------------------------------------------------------------+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|                   SERVIDOR LOCAL WINDOWS (FASTAPI)                    |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t>|   Router API -&gt; Auth API-Key -&gt; Threading Lock (db_lock Serializer)   |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+-----------------------------------------------------------------------+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 xml:space="preserve">                                  |  ODBC Driver Jet/ACE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 xml:space="preserve">                                  v  Exclusive=0 / ExtendedAnsiSQL=1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+-----------------------------------------------------------------------+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|             BASE DE DATOS MICROSOFT ACCESS: bmempresarial2021.accdb   |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|   Tablas: t_siembras_app, t49_mcamas, t50_mcomposcama, t31, t51, t102 |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t>+-----------------------------------------------------------------------+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 xml:space="preserve">                                  |  Respaldo horario automático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lastRenderedPageBreak/>
              <w:t xml:space="preserve">                                  v  (Retención de las últimas 5 copias)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+-----------------------------------------------------------------------+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|                 CARPETA backups_seguridad/ (Copias .accdb)            |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+-----------------------------------------------------------------------+</w:t>
            </w:r>
          </w:p>
        </w:tc>
      </w:tr>
    </w:tbl>
    <w:p w14:paraId="34301BA2" w14:textId="77777777" w:rsidR="002225E9" w:rsidRPr="00FB314E" w:rsidRDefault="002225E9">
      <w:pPr>
        <w:spacing w:after="80"/>
        <w:rPr>
          <w:lang w:val="es-CO"/>
        </w:rPr>
      </w:pPr>
    </w:p>
    <w:p w14:paraId="34A0D58B" w14:textId="77777777" w:rsidR="002225E9" w:rsidRPr="00FB314E" w:rsidRDefault="00E76C61">
      <w:pPr>
        <w:pStyle w:val="Ttulo1"/>
        <w:spacing w:before="240" w:after="80"/>
        <w:rPr>
          <w:lang w:val="es-CO"/>
        </w:rPr>
      </w:pPr>
      <w:r w:rsidRPr="00FB314E">
        <w:rPr>
          <w:rFonts w:ascii="Calibri" w:hAnsi="Calibri"/>
          <w:color w:val="1B5E20"/>
          <w:sz w:val="25"/>
          <w:lang w:val="es-CO"/>
        </w:rPr>
        <w:t>2. Requisitos de Infraestructura y Topología de Red</w:t>
      </w:r>
    </w:p>
    <w:p w14:paraId="192CF81C" w14:textId="77777777" w:rsidR="002225E9" w:rsidRDefault="00E76C61">
      <w:pPr>
        <w:pStyle w:val="Ttulo2"/>
        <w:spacing w:before="160" w:after="60"/>
      </w:pPr>
      <w:r>
        <w:rPr>
          <w:rFonts w:ascii="Calibri" w:hAnsi="Calibri"/>
          <w:color w:val="2E7D32"/>
          <w:sz w:val="22"/>
        </w:rPr>
        <w:t>2.1 Servidor Local / Host PC</w:t>
      </w:r>
    </w:p>
    <w:p w14:paraId="6D371001" w14:textId="77777777" w:rsidR="002225E9" w:rsidRDefault="00E76C61">
      <w:pPr>
        <w:spacing w:after="80"/>
      </w:pPr>
      <w:r>
        <w:rPr>
          <w:rFonts w:ascii="Calibri" w:hAnsi="Calibri"/>
          <w:b/>
          <w:color w:val="2E7D32"/>
          <w:sz w:val="19"/>
        </w:rPr>
        <w:t xml:space="preserve">• Sistema Operativo: </w:t>
      </w:r>
      <w:r>
        <w:rPr>
          <w:rFonts w:ascii="Calibri" w:hAnsi="Calibri"/>
          <w:color w:val="263238"/>
          <w:sz w:val="19"/>
        </w:rPr>
        <w:t>Windows 10 Pro / Enterprise (64 bits), Windows 11 Pro o Windows Server 2016+.</w:t>
      </w:r>
    </w:p>
    <w:p w14:paraId="746DDB4A" w14:textId="77777777" w:rsidR="002225E9" w:rsidRDefault="00E76C61">
      <w:pPr>
        <w:spacing w:after="80"/>
      </w:pPr>
      <w:r>
        <w:rPr>
          <w:rFonts w:ascii="Calibri" w:hAnsi="Calibri"/>
          <w:b/>
          <w:color w:val="2E7D32"/>
          <w:sz w:val="19"/>
        </w:rPr>
        <w:t xml:space="preserve">• Intérprete Python: </w:t>
      </w:r>
      <w:r>
        <w:rPr>
          <w:rFonts w:ascii="Calibri" w:hAnsi="Calibri"/>
          <w:color w:val="263238"/>
          <w:sz w:val="19"/>
        </w:rPr>
        <w:t>Python 3.10.x o 3.11.x (64 bits, con opción Add Python to PATH).</w:t>
      </w:r>
    </w:p>
    <w:p w14:paraId="35829980" w14:textId="77777777" w:rsidR="002225E9" w:rsidRDefault="00E76C61">
      <w:pPr>
        <w:spacing w:after="80"/>
      </w:pPr>
      <w:r>
        <w:rPr>
          <w:rFonts w:ascii="Calibri" w:hAnsi="Calibri"/>
          <w:b/>
          <w:color w:val="2E7D32"/>
          <w:sz w:val="19"/>
        </w:rPr>
        <w:t xml:space="preserve">• Driver ODBC: </w:t>
      </w:r>
      <w:r>
        <w:rPr>
          <w:rFonts w:ascii="Calibri" w:hAnsi="Calibri"/>
          <w:color w:val="263238"/>
          <w:sz w:val="19"/>
        </w:rPr>
        <w:t>Microsoft Access Database Engine 2016 Redistributable x64 (imprescindible para pyodbc).</w:t>
      </w:r>
    </w:p>
    <w:p w14:paraId="6E478177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• Hardware Mínimo: </w:t>
      </w:r>
      <w:r w:rsidRPr="00FB314E">
        <w:rPr>
          <w:rFonts w:ascii="Calibri" w:hAnsi="Calibri"/>
          <w:color w:val="263238"/>
          <w:sz w:val="19"/>
          <w:lang w:val="es-CO"/>
        </w:rPr>
        <w:t>Intel Core i3 / AMD Ryzen 3, 8 GB RAM (16 GB recomendado), 20 GB libres en SSD.</w:t>
      </w:r>
    </w:p>
    <w:p w14:paraId="483E9463" w14:textId="77777777" w:rsidR="002225E9" w:rsidRPr="00FB314E" w:rsidRDefault="00E76C61">
      <w:pPr>
        <w:pStyle w:val="Ttulo2"/>
        <w:spacing w:before="160" w:after="60"/>
        <w:rPr>
          <w:lang w:val="es-CO"/>
        </w:rPr>
      </w:pPr>
      <w:r w:rsidRPr="00FB314E">
        <w:rPr>
          <w:rFonts w:ascii="Calibri" w:hAnsi="Calibri"/>
          <w:color w:val="2E7D32"/>
          <w:sz w:val="22"/>
          <w:lang w:val="es-CO"/>
        </w:rPr>
        <w:t>2.2 Dispositivos Móviles (Dispositivos Android)</w:t>
      </w:r>
    </w:p>
    <w:p w14:paraId="23CF7202" w14:textId="77777777" w:rsidR="002225E9" w:rsidRPr="00FB314E" w:rsidRDefault="00E76C61">
      <w:pPr>
        <w:spacing w:after="80"/>
        <w:rPr>
          <w:lang w:val="es-CO"/>
        </w:rPr>
      </w:pPr>
      <w:r>
        <w:t>Dispositivos Android 8.0 (API 26) o superior, 2 GB RAM mínimo (3-4 GB recomendado).</w:t>
      </w:r>
    </w:p>
    <w:p w14:paraId="68557A9C" w14:textId="77777777" w:rsidR="002225E9" w:rsidRPr="00FB314E" w:rsidRDefault="00E76C61">
      <w:pPr>
        <w:pStyle w:val="Ttulo2"/>
        <w:spacing w:before="160" w:after="60"/>
        <w:rPr>
          <w:lang w:val="es-CO"/>
        </w:rPr>
      </w:pPr>
      <w:r w:rsidRPr="00FB314E">
        <w:rPr>
          <w:rFonts w:ascii="Calibri" w:hAnsi="Calibri"/>
          <w:color w:val="2E7D32"/>
          <w:sz w:val="22"/>
          <w:lang w:val="es-CO"/>
        </w:rPr>
        <w:t>2.3 Configuración de Red y Regla de Firewall</w:t>
      </w:r>
    </w:p>
    <w:p w14:paraId="324DA23E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color w:val="263238"/>
          <w:sz w:val="19"/>
          <w:lang w:val="es-CO"/>
        </w:rPr>
        <w:t>El servidor debe tener IP estática o reserva fija DHCP (ej: 192.168.1.39). Puerto TCP 8000.</w:t>
      </w:r>
    </w:p>
    <w:p w14:paraId="6755E9C1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color w:val="263238"/>
          <w:sz w:val="19"/>
          <w:lang w:val="es-CO"/>
        </w:rPr>
        <w:t>Comando PowerShell obligatorio en el servidor para habilitar el tráfico de los dispositivos Android:</w:t>
      </w:r>
    </w:p>
    <w:tbl>
      <w:tblPr>
        <w:tblW w:w="0" w:type="auto"/>
        <w:jc w:val="center"/>
        <w:tblBorders>
          <w:top w:val="single" w:sz="4" w:space="0" w:color="CFD8DC"/>
          <w:left w:val="single" w:sz="4" w:space="0" w:color="CFD8DC"/>
          <w:bottom w:val="single" w:sz="4" w:space="0" w:color="CFD8DC"/>
          <w:right w:val="single" w:sz="4" w:space="0" w:color="CFD8DC"/>
          <w:insideH w:val="single" w:sz="4" w:space="0" w:color="CFD8DC"/>
          <w:insideV w:val="single" w:sz="4" w:space="0" w:color="CFD8DC"/>
        </w:tblBorders>
        <w:tblLayout w:type="fixed"/>
        <w:tblLook w:val="04A0" w:firstRow="1" w:lastRow="0" w:firstColumn="1" w:lastColumn="0" w:noHBand="0" w:noVBand="1"/>
      </w:tblPr>
      <w:tblGrid>
        <w:gridCol w:w="9648"/>
      </w:tblGrid>
      <w:tr w:rsidR="002225E9" w14:paraId="17E32CF7" w14:textId="77777777">
        <w:trPr>
          <w:jc w:val="center"/>
        </w:trPr>
        <w:tc>
          <w:tcPr>
            <w:tcW w:w="9648" w:type="dxa"/>
            <w:shd w:val="clear" w:color="auto" w:fill="ECEF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5F58B05" w14:textId="77777777" w:rsidR="002225E9" w:rsidRDefault="00E76C61">
            <w:pPr>
              <w:spacing w:after="0" w:line="252" w:lineRule="auto"/>
            </w:pPr>
            <w:r>
              <w:rPr>
                <w:rFonts w:ascii="Consolas" w:hAnsi="Consolas"/>
                <w:color w:val="37474F"/>
                <w:sz w:val="17"/>
              </w:rPr>
              <w:t>New-NetFirewallRule -DisplayName "Siembras Backend 8000" -Direction Inbound -LocalPort 8000 -Protocol TCP -Action Allow</w:t>
            </w:r>
          </w:p>
        </w:tc>
      </w:tr>
    </w:tbl>
    <w:p w14:paraId="0140B3A9" w14:textId="77777777" w:rsidR="002225E9" w:rsidRDefault="002225E9">
      <w:pPr>
        <w:spacing w:after="80"/>
      </w:pPr>
    </w:p>
    <w:p w14:paraId="2A390927" w14:textId="77777777" w:rsidR="002225E9" w:rsidRPr="00FB314E" w:rsidRDefault="00E76C61">
      <w:pPr>
        <w:pStyle w:val="Ttulo1"/>
        <w:spacing w:before="240" w:after="80"/>
        <w:rPr>
          <w:lang w:val="es-CO"/>
        </w:rPr>
      </w:pPr>
      <w:r w:rsidRPr="00FB314E">
        <w:rPr>
          <w:rFonts w:ascii="Calibri" w:hAnsi="Calibri"/>
          <w:color w:val="1B5E20"/>
          <w:sz w:val="25"/>
          <w:lang w:val="es-CO"/>
        </w:rPr>
        <w:t>3. Instalación, Configuración y Despliegue del Backend (FastAPI)</w:t>
      </w:r>
    </w:p>
    <w:p w14:paraId="6920DDD4" w14:textId="77777777" w:rsidR="002225E9" w:rsidRDefault="00E76C61">
      <w:pPr>
        <w:pStyle w:val="Ttulo2"/>
        <w:spacing w:before="160" w:after="60"/>
      </w:pPr>
      <w:r>
        <w:rPr>
          <w:rFonts w:ascii="Calibri" w:hAnsi="Calibri"/>
          <w:color w:val="2E7D32"/>
          <w:sz w:val="22"/>
        </w:rPr>
        <w:t>3.1 Instalación de Dependencias</w:t>
      </w:r>
    </w:p>
    <w:tbl>
      <w:tblPr>
        <w:tblW w:w="0" w:type="auto"/>
        <w:jc w:val="center"/>
        <w:tblBorders>
          <w:top w:val="single" w:sz="4" w:space="0" w:color="CFD8DC"/>
          <w:left w:val="single" w:sz="4" w:space="0" w:color="CFD8DC"/>
          <w:bottom w:val="single" w:sz="4" w:space="0" w:color="CFD8DC"/>
          <w:right w:val="single" w:sz="4" w:space="0" w:color="CFD8DC"/>
          <w:insideH w:val="single" w:sz="4" w:space="0" w:color="CFD8DC"/>
          <w:insideV w:val="single" w:sz="4" w:space="0" w:color="CFD8DC"/>
        </w:tblBorders>
        <w:tblLayout w:type="fixed"/>
        <w:tblLook w:val="04A0" w:firstRow="1" w:lastRow="0" w:firstColumn="1" w:lastColumn="0" w:noHBand="0" w:noVBand="1"/>
      </w:tblPr>
      <w:tblGrid>
        <w:gridCol w:w="9648"/>
      </w:tblGrid>
      <w:tr w:rsidR="002225E9" w14:paraId="50DF384B" w14:textId="77777777">
        <w:trPr>
          <w:jc w:val="center"/>
        </w:trPr>
        <w:tc>
          <w:tcPr>
            <w:tcW w:w="9648" w:type="dxa"/>
            <w:shd w:val="clear" w:color="auto" w:fill="ECEF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CEB105B" w14:textId="77777777" w:rsidR="002225E9" w:rsidRDefault="00E76C61">
            <w:pPr>
              <w:spacing w:after="0" w:line="252" w:lineRule="auto"/>
            </w:pPr>
            <w:r>
              <w:rPr>
                <w:rFonts w:ascii="Consolas" w:hAnsi="Consolas"/>
                <w:color w:val="37474F"/>
                <w:sz w:val="17"/>
              </w:rPr>
              <w:t>cd /d D:\PROYECTO SIEMBRAS\backend</w:t>
            </w:r>
            <w:r>
              <w:rPr>
                <w:rFonts w:ascii="Consolas" w:hAnsi="Consolas"/>
                <w:color w:val="37474F"/>
                <w:sz w:val="17"/>
              </w:rPr>
              <w:br/>
              <w:t>pip install -r requirements.txt</w:t>
            </w:r>
          </w:p>
        </w:tc>
      </w:tr>
    </w:tbl>
    <w:p w14:paraId="1E7F68CB" w14:textId="77777777" w:rsidR="002225E9" w:rsidRDefault="002225E9">
      <w:pPr>
        <w:spacing w:after="80"/>
      </w:pPr>
    </w:p>
    <w:p w14:paraId="18E3FB88" w14:textId="77777777" w:rsidR="002225E9" w:rsidRDefault="00E76C61">
      <w:pPr>
        <w:pStyle w:val="Ttulo2"/>
        <w:spacing w:before="160" w:after="60"/>
      </w:pPr>
      <w:r>
        <w:rPr>
          <w:rFonts w:ascii="Calibri" w:hAnsi="Calibri"/>
          <w:color w:val="2E7D32"/>
          <w:sz w:val="22"/>
        </w:rPr>
        <w:t>3.2 Variables de Entorno (.env)</w:t>
      </w:r>
    </w:p>
    <w:tbl>
      <w:tblPr>
        <w:tblW w:w="0" w:type="auto"/>
        <w:jc w:val="center"/>
        <w:tblBorders>
          <w:top w:val="single" w:sz="4" w:space="0" w:color="CFD8DC"/>
          <w:left w:val="single" w:sz="4" w:space="0" w:color="CFD8DC"/>
          <w:bottom w:val="single" w:sz="4" w:space="0" w:color="CFD8DC"/>
          <w:right w:val="single" w:sz="4" w:space="0" w:color="CFD8DC"/>
          <w:insideH w:val="single" w:sz="4" w:space="0" w:color="CFD8DC"/>
          <w:insideV w:val="single" w:sz="4" w:space="0" w:color="CFD8DC"/>
        </w:tblBorders>
        <w:tblLayout w:type="fixed"/>
        <w:tblLook w:val="04A0" w:firstRow="1" w:lastRow="0" w:firstColumn="1" w:lastColumn="0" w:noHBand="0" w:noVBand="1"/>
      </w:tblPr>
      <w:tblGrid>
        <w:gridCol w:w="9648"/>
      </w:tblGrid>
      <w:tr w:rsidR="002225E9" w14:paraId="7F8B45FE" w14:textId="77777777">
        <w:trPr>
          <w:jc w:val="center"/>
        </w:trPr>
        <w:tc>
          <w:tcPr>
            <w:tcW w:w="9648" w:type="dxa"/>
            <w:shd w:val="clear" w:color="auto" w:fill="ECEF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D354454" w14:textId="77777777" w:rsidR="002225E9" w:rsidRDefault="00E76C61">
            <w:pPr>
              <w:spacing w:after="0" w:line="252" w:lineRule="auto"/>
            </w:pPr>
            <w:r>
              <w:rPr>
                <w:rFonts w:ascii="Consolas" w:hAnsi="Consolas"/>
                <w:color w:val="37474F"/>
                <w:sz w:val="17"/>
              </w:rPr>
              <w:t>ACCESS_DB_PATH=D:\PROYECTO SIEMBRAS\bmempresarial2021.accdb</w:t>
            </w:r>
            <w:r>
              <w:rPr>
                <w:rFonts w:ascii="Consolas" w:hAnsi="Consolas"/>
                <w:color w:val="37474F"/>
                <w:sz w:val="17"/>
              </w:rPr>
              <w:br/>
              <w:t>AUTO_BACKUP_ON_SYNC=true</w:t>
            </w:r>
            <w:r>
              <w:rPr>
                <w:rFonts w:ascii="Consolas" w:hAnsi="Consolas"/>
                <w:color w:val="37474F"/>
                <w:sz w:val="17"/>
              </w:rPr>
              <w:br/>
              <w:t>API_KEY=sk-siembras-2026-devkey</w:t>
            </w:r>
            <w:r>
              <w:rPr>
                <w:rFonts w:ascii="Consolas" w:hAnsi="Consolas"/>
                <w:color w:val="37474F"/>
                <w:sz w:val="17"/>
              </w:rPr>
              <w:br/>
              <w:t>ADMIN_TOKEN=1234</w:t>
            </w:r>
          </w:p>
        </w:tc>
      </w:tr>
    </w:tbl>
    <w:p w14:paraId="1D092EAA" w14:textId="77777777" w:rsidR="002225E9" w:rsidRDefault="002225E9">
      <w:pPr>
        <w:spacing w:after="80"/>
      </w:pPr>
    </w:p>
    <w:p w14:paraId="0450004F" w14:textId="77777777" w:rsidR="002225E9" w:rsidRPr="00FB314E" w:rsidRDefault="00E76C61">
      <w:pPr>
        <w:pStyle w:val="Ttulo2"/>
        <w:spacing w:before="160" w:after="60"/>
        <w:rPr>
          <w:lang w:val="es-CO"/>
        </w:rPr>
      </w:pPr>
      <w:r w:rsidRPr="00FB314E">
        <w:rPr>
          <w:rFonts w:ascii="Calibri" w:hAnsi="Calibri"/>
          <w:color w:val="2E7D32"/>
          <w:sz w:val="22"/>
          <w:lang w:val="es-CO"/>
        </w:rPr>
        <w:t>3.3 Puesta en Marcha y Servicio Permanente</w:t>
      </w:r>
    </w:p>
    <w:p w14:paraId="0C28944B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color w:val="263238"/>
          <w:sz w:val="19"/>
          <w:lang w:val="es-CO"/>
        </w:rPr>
        <w:t>Ejecute el script interactivo 'iniciar_backend.bat' en la raíz. Detecta automáticamente la IP local e inicia Uvicorn en 0.0.0.0:8000.</w:t>
      </w:r>
    </w:p>
    <w:p w14:paraId="0BCDC090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color w:val="263238"/>
          <w:sz w:val="19"/>
          <w:lang w:val="es-CO"/>
        </w:rPr>
        <w:t>Para producción permanente sin sesión abierta de usuario, configure el servicio de Windows con NSSM:</w:t>
      </w:r>
    </w:p>
    <w:tbl>
      <w:tblPr>
        <w:tblW w:w="0" w:type="auto"/>
        <w:jc w:val="center"/>
        <w:tblBorders>
          <w:top w:val="single" w:sz="4" w:space="0" w:color="CFD8DC"/>
          <w:left w:val="single" w:sz="4" w:space="0" w:color="CFD8DC"/>
          <w:bottom w:val="single" w:sz="4" w:space="0" w:color="CFD8DC"/>
          <w:right w:val="single" w:sz="4" w:space="0" w:color="CFD8DC"/>
          <w:insideH w:val="single" w:sz="4" w:space="0" w:color="CFD8DC"/>
          <w:insideV w:val="single" w:sz="4" w:space="0" w:color="CFD8DC"/>
        </w:tblBorders>
        <w:tblLayout w:type="fixed"/>
        <w:tblLook w:val="04A0" w:firstRow="1" w:lastRow="0" w:firstColumn="1" w:lastColumn="0" w:noHBand="0" w:noVBand="1"/>
      </w:tblPr>
      <w:tblGrid>
        <w:gridCol w:w="9648"/>
      </w:tblGrid>
      <w:tr w:rsidR="002225E9" w:rsidRPr="00FB314E" w14:paraId="7B4061D9" w14:textId="77777777">
        <w:trPr>
          <w:jc w:val="center"/>
        </w:trPr>
        <w:tc>
          <w:tcPr>
            <w:tcW w:w="9648" w:type="dxa"/>
            <w:shd w:val="clear" w:color="auto" w:fill="ECEF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F611A71" w14:textId="77777777" w:rsidR="002225E9" w:rsidRPr="00FB314E" w:rsidRDefault="00E76C61">
            <w:pPr>
              <w:spacing w:after="0" w:line="252" w:lineRule="auto"/>
              <w:rPr>
                <w:lang w:val="es-CO"/>
              </w:rPr>
            </w:pP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t>nssm install SiembrasBackend "C:\Python310\python.exe" "D:\PROYECTO SIEMBRAS\backend\run.py"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nssm start SiembrasBackend</w:t>
            </w:r>
          </w:p>
        </w:tc>
      </w:tr>
    </w:tbl>
    <w:p w14:paraId="6FF6CB53" w14:textId="77777777" w:rsidR="002225E9" w:rsidRPr="00FB314E" w:rsidRDefault="002225E9">
      <w:pPr>
        <w:spacing w:after="80"/>
        <w:rPr>
          <w:lang w:val="es-CO"/>
        </w:rPr>
      </w:pPr>
    </w:p>
    <w:p w14:paraId="69E314FA" w14:textId="77777777" w:rsidR="002225E9" w:rsidRPr="00FB314E" w:rsidRDefault="00E76C61">
      <w:pPr>
        <w:pStyle w:val="Ttulo1"/>
        <w:spacing w:before="240" w:after="80"/>
        <w:rPr>
          <w:lang w:val="es-CO"/>
        </w:rPr>
      </w:pPr>
      <w:r w:rsidRPr="00FB314E">
        <w:rPr>
          <w:rFonts w:ascii="Calibri" w:hAnsi="Calibri"/>
          <w:color w:val="1B5E20"/>
          <w:sz w:val="25"/>
          <w:lang w:val="es-CO"/>
        </w:rPr>
        <w:lastRenderedPageBreak/>
        <w:t>4. Base de Datos Empresarial Microsoft Access</w:t>
      </w:r>
    </w:p>
    <w:p w14:paraId="47A8B554" w14:textId="77777777" w:rsidR="002225E9" w:rsidRPr="00FB314E" w:rsidRDefault="00E76C61">
      <w:pPr>
        <w:pStyle w:val="Ttulo2"/>
        <w:spacing w:before="160" w:after="60"/>
        <w:rPr>
          <w:lang w:val="es-CO"/>
        </w:rPr>
      </w:pPr>
      <w:r w:rsidRPr="00FB314E">
        <w:rPr>
          <w:rFonts w:ascii="Calibri" w:hAnsi="Calibri"/>
          <w:color w:val="2E7D32"/>
          <w:sz w:val="22"/>
          <w:lang w:val="es-CO"/>
        </w:rPr>
        <w:t>4.1 Concurrencia Segura y Bloqueo Multihilo (db_lock)</w:t>
      </w:r>
    </w:p>
    <w:p w14:paraId="2E4130AF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color w:val="263238"/>
          <w:sz w:val="19"/>
          <w:lang w:val="es-CO"/>
        </w:rPr>
        <w:t>Microsoft Access no tolera transacciones concurrentes desordenadas. Para eliminar riesgos de archivos bloqueados (.laccdb) o corrupción de datos, el backend aplica dos técnicas fundamentales:</w:t>
      </w:r>
    </w:p>
    <w:p w14:paraId="15F562E6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1. Cadena ODBC Compartida: </w:t>
      </w:r>
      <w:r w:rsidRPr="00FB314E">
        <w:rPr>
          <w:rFonts w:ascii="Calibri" w:hAnsi="Calibri"/>
          <w:color w:val="263238"/>
          <w:sz w:val="19"/>
          <w:lang w:val="es-CO"/>
        </w:rPr>
        <w:t>Driver={Microsoft Access Driver (*.mdb, *.accdb)};DBQ=...;Exclusive=0;ExtendedAnsiSQL=1; Permite que usuarios de oficina trabajen en Access sin interferir con el backend.</w:t>
      </w:r>
    </w:p>
    <w:p w14:paraId="01DFC350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2. Serialización Global (db_lock): </w:t>
      </w:r>
      <w:r w:rsidRPr="00FB314E">
        <w:rPr>
          <w:rFonts w:ascii="Calibri" w:hAnsi="Calibri"/>
          <w:color w:val="263238"/>
          <w:sz w:val="19"/>
          <w:lang w:val="es-CO"/>
        </w:rPr>
        <w:t>En app/db/connection.py, la función get_db() utiliza un threading.Lock global. Cada petición espera ordenadamente a que termine la anterior antes de abrir la base de datos.</w:t>
      </w:r>
    </w:p>
    <w:p w14:paraId="0054788F" w14:textId="77777777" w:rsidR="002225E9" w:rsidRPr="00FB314E" w:rsidRDefault="00E76C61">
      <w:pPr>
        <w:pStyle w:val="Ttulo2"/>
        <w:spacing w:before="160" w:after="60"/>
        <w:rPr>
          <w:lang w:val="es-CO"/>
        </w:rPr>
      </w:pPr>
      <w:r w:rsidRPr="00FB314E">
        <w:rPr>
          <w:rFonts w:ascii="Calibri" w:hAnsi="Calibri"/>
          <w:color w:val="2E7D32"/>
          <w:sz w:val="22"/>
          <w:lang w:val="es-CO"/>
        </w:rPr>
        <w:t>4.2 Tabla de Auditoría Móvil (t_siembras_app)</w:t>
      </w:r>
    </w:p>
    <w:p w14:paraId="43A1A4AC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color w:val="263238"/>
          <w:sz w:val="19"/>
          <w:lang w:val="es-CO"/>
        </w:rPr>
        <w:t>El backend auto-crea la tabla t_siembras_app si no existe (función ensure_database_schema). Registra cada transacción con UUID universal, fecha pura sin desfases horarios, bloque, cama, variedad, operario, cantidad y observaciones.</w:t>
      </w:r>
    </w:p>
    <w:p w14:paraId="2B373717" w14:textId="77777777" w:rsidR="002225E9" w:rsidRPr="00FB314E" w:rsidRDefault="00E76C61">
      <w:pPr>
        <w:pStyle w:val="Ttulo2"/>
        <w:spacing w:before="160" w:after="60"/>
        <w:rPr>
          <w:lang w:val="es-CO"/>
        </w:rPr>
      </w:pPr>
      <w:r w:rsidRPr="00FB314E">
        <w:rPr>
          <w:rFonts w:ascii="Calibri" w:hAnsi="Calibri"/>
          <w:color w:val="2E7D32"/>
          <w:sz w:val="22"/>
          <w:lang w:val="es-CO"/>
        </w:rPr>
        <w:t>4.3 Política de Backups Preventivos Automáticos</w:t>
      </w:r>
    </w:p>
    <w:p w14:paraId="00494A6C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color w:val="263238"/>
          <w:sz w:val="19"/>
          <w:lang w:val="es-CO"/>
        </w:rPr>
        <w:t>La función safe_backup_database() se ejecuta en un hilo asíncrono secundario (DB-Backup-Worker). Genera una copia horaria en 'backups_seguridad/' y retiene únicamente las 5 más recientes para optimizar el almacenamiento.</w:t>
      </w:r>
    </w:p>
    <w:p>
      <w:pPr>
        <w:pStyle w:val="Ttulo2"/>
      </w:pPr>
      <w:r>
        <w:t>4.4 Política de Inmutabilidad Temporal (Bloqueo a 2 Días) y Procedimiento de Modificación en Access</w:t>
      </w:r>
    </w:p>
    <w:p>
      <w:r>
        <w:t>El cliente móvil aplica una regla de inmutabilidad estricta (CalendarioUtil.puedeModificarSiembraPorFecha): cualquier registro con más de 48 horas (2 días calendario) desde su fecha de siembra queda bloqueado para edición o eliminación en los terminales Android de campo. Este mecanismo garantiza que los cierres agronómicos y la contabilidad de costos no sufran alteraciones inadvertidas por parte de los operarios.</w:t>
      </w:r>
    </w:p>
    <w:p>
      <w:r>
        <w:t>Procedimiento de Soporte Técnico para Modificaciones Extemporáneas:</w:t>
        <w:br/>
        <w:t>1. Solicitud Formal: El supervisor de campo debe remitir el requerimiento indicando la fecha de siembra, bloque, cama y el motivo del ajuste.</w:t>
        <w:br/>
        <w:t>2. Acceso al Almacén Central: El personal de TI abre la base de datos empresarial bmempresarial2021.accdb en la estación servidora.</w:t>
        <w:br/>
        <w:t>3. Localización del Registro: En la tabla t_siembras_app (o la vista correspondiente), filtrar por cama_id y fecha_siembra.</w:t>
        <w:br/>
        <w:t>4. Modificación Segura: Ajustar manualmente el valor requerido (cantidad_tallos, variedad_id, operario_id, observaciones) asegurando que el campo sincronizado se mantenga coherente.</w:t>
        <w:br/>
        <w:t>5. Trazabilidad: El backend FastAPI reflejará de inmediato los datos consolidados en los endpoints de auditoría y catálogos.</w:t>
      </w:r>
    </w:p>
    <w:p>
      <w:pPr>
        <w:pStyle w:val="Ttulo2"/>
      </w:pPr>
      <w:r>
        <w:t>4.5 Trazabilidad de Siembras Bilaterales y Áreas Especiales en Base de Datos</w:t>
      </w:r>
    </w:p>
    <w:p>
      <w:r>
        <w:t>Para soportar la división física de camas en Pompón, Cremón, Matsumoto y Girasol y el régimen de siembra mixta ("Pasó al otro lado"), el backend y el esquema de Access articulan la información de la siguiente manera:</w:t>
        <w:br/>
        <w:t>• Densidades Bilaterales Oficiales:</w:t>
        <w:br/>
        <w:t xml:space="preserve">    - Pompón (Total 25 esquejes por línea): Lado A = 13 esquejes por línea | Lado B = 12 esquejes por línea (Cama completa = 25 esquejes por línea).</w:t>
        <w:br/>
        <w:t xml:space="preserve">    - Cremón (Total 22 esquejes por línea): Lado A = 11 esquejes por línea | Lado B = 11 esquejes por línea (11 esquejes por cada lado; Cama completa = 22 esquejes por línea).</w:t>
        <w:br/>
        <w:t>• Campo Observaciones y Función "Pasó al otro lado": Cuando se registra una siembra bilateral o mixta, la app genera una cadena estructurada que se guarda en el campo observaciones de t_siembras_app:</w:t>
        <w:br/>
        <w:t xml:space="preserve">    - Formato Estándar: "CLON: 4-25 | LADO A (13 esq/lín)" o "LADO B (12 esq/lín)".</w:t>
        <w:br/>
        <w:t xml:space="preserve">    - Formato Mixto: "CLON: 4-25 | MIXTO: Lado A (14 lín) + Lado B (4 lín)". Esto documenta la labor de quien pasó al otro lado y permite a auditoría de nómina y costos desglosar con exactitud la labor de cada operario.</w:t>
        <w:br/>
        <w:t>• Áreas Especiales (Planta Madre, Bancos y Núcleos): En estas labores se almacena operario_id = 0 en la base de datos y se rotulan como "Sin Sembrador". Las consultas SQL de rendimiento en app/db/queries.py filtran explícitamente "WHERE operario_id &gt; 0", impidiendo que estas unidades vegetativas de propagación distorsionen los promedios y rankings de rendimiento laboral de los sembradores.</w:t>
      </w:r>
    </w:p>
    <w:p w14:paraId="16B8B547" w14:textId="77777777" w:rsidR="002225E9" w:rsidRPr="00FB314E" w:rsidRDefault="00E76C61">
      <w:pPr>
        <w:pStyle w:val="Ttulo1"/>
        <w:spacing w:before="240" w:after="80"/>
        <w:rPr>
          <w:lang w:val="es-CO"/>
        </w:rPr>
      </w:pPr>
      <w:r w:rsidRPr="00FB314E">
        <w:rPr>
          <w:rFonts w:ascii="Calibri" w:hAnsi="Calibri"/>
          <w:color w:val="1B5E20"/>
          <w:sz w:val="25"/>
          <w:lang w:val="es-CO"/>
        </w:rPr>
        <w:t>5. Base de Datos Local en Dispositivos Android (SQLite WAL y Triple Respaldo)</w:t>
      </w:r>
    </w:p>
    <w:p w14:paraId="470F266E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color w:val="263238"/>
          <w:sz w:val="19"/>
          <w:lang w:val="es-CO"/>
        </w:rPr>
        <w:t>En app_movil/lib/database/local_db.dart, SQLite se inicializa con PRAGMA journal_mode = WAL y PRAGMA synchronous = FULL. Además, PersistentBackupService monitorea el ciclo de vida del dispositivo Android (WidgetsBindingObserver); al suspenderse o apagarse la pantalla, genera de inmediato un volcado en formato JSON independiente de la memoria volátil.</w:t>
      </w:r>
    </w:p>
    <w:p w14:paraId="2B4236AA" w14:textId="77777777" w:rsidR="002225E9" w:rsidRPr="00FB314E" w:rsidRDefault="00E76C61">
      <w:pPr>
        <w:pStyle w:val="Ttulo1"/>
        <w:spacing w:before="240" w:after="80"/>
        <w:rPr>
          <w:lang w:val="es-CO"/>
        </w:rPr>
      </w:pPr>
      <w:r w:rsidRPr="00FB314E">
        <w:rPr>
          <w:rFonts w:ascii="Calibri" w:hAnsi="Calibri"/>
          <w:color w:val="1B5E20"/>
          <w:sz w:val="25"/>
          <w:lang w:val="es-CO"/>
        </w:rPr>
        <w:t>6. Especificación de la API REST y Contratos</w:t>
      </w:r>
    </w:p>
    <w:tbl>
      <w:tblPr>
        <w:tblW w:w="0" w:type="auto"/>
        <w:jc w:val="center"/>
        <w:tblBorders>
          <w:top w:val="single" w:sz="4" w:space="0" w:color="CFD8DC"/>
          <w:left w:val="single" w:sz="4" w:space="0" w:color="CFD8DC"/>
          <w:bottom w:val="single" w:sz="4" w:space="0" w:color="CFD8DC"/>
          <w:right w:val="single" w:sz="4" w:space="0" w:color="CFD8DC"/>
          <w:insideH w:val="single" w:sz="4" w:space="0" w:color="CFD8DC"/>
          <w:insideV w:val="single" w:sz="4" w:space="0" w:color="CFD8DC"/>
        </w:tblBorders>
        <w:tblLayout w:type="fixed"/>
        <w:tblLook w:val="04A0" w:firstRow="1" w:lastRow="0" w:firstColumn="1" w:lastColumn="0" w:noHBand="0" w:noVBand="1"/>
      </w:tblPr>
      <w:tblGrid>
        <w:gridCol w:w="2412"/>
        <w:gridCol w:w="2412"/>
        <w:gridCol w:w="2412"/>
        <w:gridCol w:w="2412"/>
      </w:tblGrid>
      <w:tr w:rsidR="002225E9" w14:paraId="12702755" w14:textId="77777777">
        <w:trPr>
          <w:jc w:val="center"/>
        </w:trPr>
        <w:tc>
          <w:tcPr>
            <w:tcW w:w="2412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637E89B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Método</w:t>
            </w:r>
          </w:p>
        </w:tc>
        <w:tc>
          <w:tcPr>
            <w:tcW w:w="2412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9E35BC6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Endpoint</w:t>
            </w:r>
          </w:p>
        </w:tc>
        <w:tc>
          <w:tcPr>
            <w:tcW w:w="2412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2449020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Propósito</w:t>
            </w:r>
          </w:p>
        </w:tc>
        <w:tc>
          <w:tcPr>
            <w:tcW w:w="2412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B59E343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Autenticación</w:t>
            </w:r>
          </w:p>
        </w:tc>
      </w:tr>
      <w:tr w:rsidR="002225E9" w14:paraId="5373B539" w14:textId="77777777">
        <w:trPr>
          <w:jc w:val="center"/>
        </w:trPr>
        <w:tc>
          <w:tcPr>
            <w:tcW w:w="2412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3A19EE0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b/>
                <w:color w:val="263238"/>
                <w:sz w:val="17"/>
              </w:rPr>
              <w:t>GET</w:t>
            </w:r>
          </w:p>
        </w:tc>
        <w:tc>
          <w:tcPr>
            <w:tcW w:w="2412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A58DDA8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/api/health</w:t>
            </w:r>
          </w:p>
        </w:tc>
        <w:tc>
          <w:tcPr>
            <w:tcW w:w="2412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E3C2742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Diagnóstico de conexión y estado de base de datos.</w:t>
            </w:r>
          </w:p>
        </w:tc>
        <w:tc>
          <w:tcPr>
            <w:tcW w:w="2412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4BAF5C7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Ninguna / Libre</w:t>
            </w:r>
          </w:p>
        </w:tc>
      </w:tr>
      <w:tr w:rsidR="002225E9" w14:paraId="6CD86F60" w14:textId="77777777">
        <w:trPr>
          <w:jc w:val="center"/>
        </w:trPr>
        <w:tc>
          <w:tcPr>
            <w:tcW w:w="24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8FC350F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b/>
                <w:color w:val="263238"/>
                <w:sz w:val="17"/>
              </w:rPr>
              <w:t>GET</w:t>
            </w:r>
          </w:p>
        </w:tc>
        <w:tc>
          <w:tcPr>
            <w:tcW w:w="24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E8C42C3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/api/catalogs</w:t>
            </w:r>
          </w:p>
        </w:tc>
        <w:tc>
          <w:tcPr>
            <w:tcW w:w="24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5EA032B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Descarga de bloques, camas, variedades y operarios.</w:t>
            </w:r>
          </w:p>
        </w:tc>
        <w:tc>
          <w:tcPr>
            <w:tcW w:w="24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D88314E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Header X-API-Key</w:t>
            </w:r>
          </w:p>
        </w:tc>
      </w:tr>
      <w:tr w:rsidR="002225E9" w14:paraId="18D41F77" w14:textId="77777777">
        <w:trPr>
          <w:jc w:val="center"/>
        </w:trPr>
        <w:tc>
          <w:tcPr>
            <w:tcW w:w="2412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635A166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b/>
                <w:color w:val="263238"/>
                <w:sz w:val="17"/>
              </w:rPr>
              <w:t>POST</w:t>
            </w:r>
          </w:p>
        </w:tc>
        <w:tc>
          <w:tcPr>
            <w:tcW w:w="2412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27D92B6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/api/sync/siembras</w:t>
            </w:r>
          </w:p>
        </w:tc>
        <w:tc>
          <w:tcPr>
            <w:tcW w:w="2412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671FC9F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Sincronización en lote de siembras y finalizaciones.</w:t>
            </w:r>
          </w:p>
        </w:tc>
        <w:tc>
          <w:tcPr>
            <w:tcW w:w="2412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DF55BEC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Header X-API-Key</w:t>
            </w:r>
          </w:p>
        </w:tc>
      </w:tr>
      <w:tr w:rsidR="002225E9" w14:paraId="681AD201" w14:textId="77777777">
        <w:trPr>
          <w:jc w:val="center"/>
        </w:trPr>
        <w:tc>
          <w:tcPr>
            <w:tcW w:w="24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CC7CA96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b/>
                <w:color w:val="263238"/>
                <w:sz w:val="17"/>
              </w:rPr>
              <w:t>GET</w:t>
            </w:r>
          </w:p>
        </w:tc>
        <w:tc>
          <w:tcPr>
            <w:tcW w:w="24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7B3925E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/docs</w:t>
            </w:r>
          </w:p>
        </w:tc>
        <w:tc>
          <w:tcPr>
            <w:tcW w:w="24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F02EAA0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Documentación interactiva Swagger UI en tiempo real.</w:t>
            </w:r>
          </w:p>
        </w:tc>
        <w:tc>
          <w:tcPr>
            <w:tcW w:w="24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DEFEB18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Ninguna / Libre</w:t>
            </w:r>
          </w:p>
        </w:tc>
      </w:tr>
    </w:tbl>
    <w:p w14:paraId="67F76BD8" w14:textId="77777777" w:rsidR="002225E9" w:rsidRDefault="002225E9">
      <w:pPr>
        <w:spacing w:after="100"/>
      </w:pPr>
    </w:p>
    <w:p w14:paraId="19F1247F" w14:textId="77777777" w:rsidR="002225E9" w:rsidRPr="00FB314E" w:rsidRDefault="00E76C61">
      <w:pPr>
        <w:pStyle w:val="Ttulo1"/>
        <w:spacing w:before="240" w:after="80"/>
        <w:rPr>
          <w:lang w:val="es-CO"/>
        </w:rPr>
      </w:pPr>
      <w:r w:rsidRPr="00FB314E">
        <w:rPr>
          <w:rFonts w:ascii="Calibri" w:hAnsi="Calibri"/>
          <w:color w:val="1B5E20"/>
          <w:sz w:val="25"/>
          <w:lang w:val="es-CO"/>
        </w:rPr>
        <w:t>7. Matriz de Resolución de Problemas (Troubleshooting)</w:t>
      </w:r>
    </w:p>
    <w:tbl>
      <w:tblPr>
        <w:tblW w:w="0" w:type="auto"/>
        <w:jc w:val="center"/>
        <w:tblBorders>
          <w:top w:val="single" w:sz="4" w:space="0" w:color="CFD8DC"/>
          <w:left w:val="single" w:sz="4" w:space="0" w:color="CFD8DC"/>
          <w:bottom w:val="single" w:sz="4" w:space="0" w:color="CFD8DC"/>
          <w:right w:val="single" w:sz="4" w:space="0" w:color="CFD8DC"/>
          <w:insideH w:val="single" w:sz="4" w:space="0" w:color="CFD8DC"/>
          <w:insideV w:val="single" w:sz="4" w:space="0" w:color="CFD8DC"/>
        </w:tblBorders>
        <w:tblLayout w:type="fixed"/>
        <w:tblLook w:val="04A0" w:firstRow="1" w:lastRow="0" w:firstColumn="1" w:lastColumn="0" w:noHBand="0" w:noVBand="1"/>
      </w:tblPr>
      <w:tblGrid>
        <w:gridCol w:w="3216"/>
        <w:gridCol w:w="3216"/>
        <w:gridCol w:w="3216"/>
      </w:tblGrid>
      <w:tr w:rsidR="002225E9" w14:paraId="567D3023" w14:textId="77777777">
        <w:trPr>
          <w:jc w:val="center"/>
        </w:trPr>
        <w:tc>
          <w:tcPr>
            <w:tcW w:w="3216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311EC9C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Incidencia Técnica</w:t>
            </w:r>
          </w:p>
        </w:tc>
        <w:tc>
          <w:tcPr>
            <w:tcW w:w="3216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1AEF9A8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Causa Raíz</w:t>
            </w:r>
          </w:p>
        </w:tc>
        <w:tc>
          <w:tcPr>
            <w:tcW w:w="3216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0AC8BD4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Solución Paso a Paso</w:t>
            </w:r>
          </w:p>
        </w:tc>
      </w:tr>
      <w:tr w:rsidR="002225E9" w:rsidRPr="00FB314E" w14:paraId="15AA1187" w14:textId="77777777">
        <w:trPr>
          <w:jc w:val="center"/>
        </w:trPr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BAC8CAD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b/>
                <w:color w:val="263238"/>
                <w:sz w:val="17"/>
                <w:lang w:val="es-CO"/>
              </w:rPr>
              <w:t>Dispositivo Android no conecta con el servidor</w:t>
            </w:r>
          </w:p>
        </w:tc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59D9A25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IP cambiada o Firewall de Windows bloqueando el puerto 8000.</w:t>
            </w:r>
          </w:p>
        </w:tc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A2F5A5A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Ejecute ipconfig en el servidor, confirme la IP y aplique la regla de firewall en PowerShell.</w:t>
            </w:r>
          </w:p>
        </w:tc>
      </w:tr>
      <w:tr w:rsidR="002225E9" w:rsidRPr="00FB314E" w14:paraId="029959D4" w14:textId="77777777">
        <w:trPr>
          <w:jc w:val="center"/>
        </w:trPr>
        <w:tc>
          <w:tcPr>
            <w:tcW w:w="32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86F31EC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b/>
                <w:color w:val="263238"/>
                <w:sz w:val="17"/>
              </w:rPr>
              <w:t>Archivo Access bloqueado (.laccdb)</w:t>
            </w:r>
          </w:p>
        </w:tc>
        <w:tc>
          <w:tcPr>
            <w:tcW w:w="32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CDB0853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Cierre abrupto de una sesión de Microsoft Access.</w:t>
            </w:r>
          </w:p>
        </w:tc>
        <w:tc>
          <w:tcPr>
            <w:tcW w:w="32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9DB069C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Cierre Access en todas las PCs, elimine el archivo temporal .laccdb huérfano y reinicie el backend.</w:t>
            </w:r>
          </w:p>
        </w:tc>
      </w:tr>
      <w:tr w:rsidR="002225E9" w14:paraId="02CCEAA0" w14:textId="77777777">
        <w:trPr>
          <w:jc w:val="center"/>
        </w:trPr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017D49C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b/>
                <w:color w:val="263238"/>
                <w:sz w:val="17"/>
                <w:lang w:val="es-CO"/>
              </w:rPr>
              <w:lastRenderedPageBreak/>
              <w:t>Error ODBC: Driver no encontrado</w:t>
            </w:r>
          </w:p>
        </w:tc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D44402A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Arquitectura de Python incompatible con el driver de Access.</w:t>
            </w:r>
          </w:p>
        </w:tc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E5E4D6B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Instale Microsoft Access Database Engine 2016 x64 coincidiendo con Python de 64 bits.</w:t>
            </w:r>
          </w:p>
        </w:tc>
      </w:tr>
      <w:tr w:rsidR="002225E9" w:rsidRPr="00FB314E" w14:paraId="68CC0F8D" w14:textId="77777777">
        <w:trPr>
          <w:jc w:val="center"/>
        </w:trPr>
        <w:tc>
          <w:tcPr>
            <w:tcW w:w="32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51AD35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b/>
                <w:color w:val="263238"/>
                <w:sz w:val="17"/>
                <w:lang w:val="es-CO"/>
              </w:rPr>
              <w:t>Dispositivo Android apagado por batería baja</w:t>
            </w:r>
          </w:p>
        </w:tc>
        <w:tc>
          <w:tcPr>
            <w:tcW w:w="32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A6E7CC1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Transacción interrumpida durante el apagado.</w:t>
            </w:r>
          </w:p>
        </w:tc>
        <w:tc>
          <w:tcPr>
            <w:tcW w:w="32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BB4F947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Encienda el dispositivo Android y abra la app. La rutina de auto-recuperación restaurará los datos desde el archivo JSON.</w:t>
            </w:r>
          </w:p>
        </w:tc>
      </w:tr>
      <w:tr>
        <w:tc>
          <w:tcPr>
            <w:tcW w:type="dxa" w:w="3216"/>
          </w:tcPr>
          <w:p>
            <w:r>
              <w:t>Operario reporta que no puede editar o eliminar una siembra (aparece icono de candado)</w:t>
            </w:r>
          </w:p>
        </w:tc>
        <w:tc>
          <w:tcPr>
            <w:tcW w:type="dxa" w:w="3216"/>
          </w:tcPr>
          <w:p>
            <w:r>
              <w:t>El registro tiene más de 2 días calendario desde la fecha de siembra. La regla de inmutabilidad bloquea la edición local en la app.</w:t>
            </w:r>
          </w:p>
        </w:tc>
        <w:tc>
          <w:tcPr>
            <w:tcW w:type="dxa" w:w="3216"/>
          </w:tcPr>
          <w:p>
            <w:r>
              <w:t>Verifique la justificación agronómica con el supervisor. Si la modificación procede, aplíquela directamente en Microsoft Access (bmempresarial2021.accdb).</w:t>
            </w:r>
          </w:p>
        </w:tc>
      </w:tr>
      <w:tr>
        <w:tc>
          <w:tcPr>
            <w:tcW w:type="dxa" w:w="3216"/>
          </w:tcPr>
          <w:p>
            <w:r>
              <w:t>Discrepancia en la cantidad de esquejes calculados en Pompón o Cremón</w:t>
            </w:r>
          </w:p>
        </w:tc>
        <w:tc>
          <w:tcPr>
            <w:tcW w:type="dxa" w:w="3216"/>
          </w:tcPr>
          <w:p>
            <w:r>
              <w:t>El operario seleccionó un lado de cama diferente al sembrado (Lado A vs Lado B) o ingresó líneas incorrectas en el modo mixto.</w:t>
            </w:r>
          </w:p>
        </w:tc>
        <w:tc>
          <w:tcPr>
            <w:tcW w:type="dxa" w:w="3216"/>
          </w:tcPr>
          <w:p>
            <w:r>
              <w:t>Consulte el campo observaciones en t_siembras_app para auditar el desglose de líneas sembradas por lado (Lado A x 13/11, Lado B x 12/11).</w:t>
            </w:r>
          </w:p>
        </w:tc>
      </w:tr>
      <w:tr>
        <w:tc>
          <w:tcPr>
            <w:tcW w:type="dxa" w:w="3216"/>
          </w:tcPr>
          <w:p>
            <w:r>
              <w:t>Las siembras de Planta Madre, Bancos o Núcleos no aparecen en el reporte de rendimiento laboral</w:t>
            </w:r>
          </w:p>
        </w:tc>
        <w:tc>
          <w:tcPr>
            <w:tcW w:type="dxa" w:w="3216"/>
          </w:tcPr>
          <w:p>
            <w:r>
              <w:t>Comportamiento correcto por diseño agronómico. Estas unidades de propagación se registran con operario_id = 0.</w:t>
            </w:r>
          </w:p>
        </w:tc>
        <w:tc>
          <w:tcPr>
            <w:tcW w:type="dxa" w:w="3216"/>
          </w:tcPr>
          <w:p>
            <w:r>
              <w:t>Explicar al supervisor que estas áreas corresponden a mantenimiento técnico vegetal y están deliberadamente excluidas de la medición de rendimiento de sembradores.</w:t>
            </w:r>
          </w:p>
        </w:tc>
      </w:tr>
    </w:tbl>
    <w:p w14:paraId="777D90AD" w14:textId="77777777" w:rsidR="002225E9" w:rsidRPr="00FB314E" w:rsidRDefault="002225E9">
      <w:pPr>
        <w:spacing w:after="100"/>
        <w:rPr>
          <w:lang w:val="es-CO"/>
        </w:rPr>
      </w:pPr>
    </w:p>
    <w:p w14:paraId="272431BD" w14:textId="77777777" w:rsidR="002225E9" w:rsidRDefault="00E76C61">
      <w:pPr>
        <w:pStyle w:val="Ttulo1"/>
        <w:spacing w:before="240" w:after="80"/>
      </w:pPr>
      <w:r>
        <w:rPr>
          <w:rFonts w:ascii="Calibri" w:hAnsi="Calibri"/>
          <w:color w:val="1B5E20"/>
          <w:sz w:val="25"/>
        </w:rPr>
        <w:t>8. Checklist de Mantenimiento Preventivo Periódico</w:t>
      </w:r>
    </w:p>
    <w:tbl>
      <w:tblPr>
        <w:tblW w:w="0" w:type="auto"/>
        <w:jc w:val="center"/>
        <w:tblBorders>
          <w:top w:val="single" w:sz="4" w:space="0" w:color="CFD8DC"/>
          <w:left w:val="single" w:sz="4" w:space="0" w:color="CFD8DC"/>
          <w:bottom w:val="single" w:sz="4" w:space="0" w:color="CFD8DC"/>
          <w:right w:val="single" w:sz="4" w:space="0" w:color="CFD8DC"/>
          <w:insideH w:val="single" w:sz="4" w:space="0" w:color="CFD8DC"/>
          <w:insideV w:val="single" w:sz="4" w:space="0" w:color="CFD8DC"/>
        </w:tblBorders>
        <w:tblLayout w:type="fixed"/>
        <w:tblLook w:val="04A0" w:firstRow="1" w:lastRow="0" w:firstColumn="1" w:lastColumn="0" w:noHBand="0" w:noVBand="1"/>
      </w:tblPr>
      <w:tblGrid>
        <w:gridCol w:w="3216"/>
        <w:gridCol w:w="3216"/>
        <w:gridCol w:w="3216"/>
      </w:tblGrid>
      <w:tr w:rsidR="002225E9" w14:paraId="20BB5898" w14:textId="77777777">
        <w:trPr>
          <w:jc w:val="center"/>
        </w:trPr>
        <w:tc>
          <w:tcPr>
            <w:tcW w:w="3216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294E0ED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Frecuencia</w:t>
            </w:r>
          </w:p>
        </w:tc>
        <w:tc>
          <w:tcPr>
            <w:tcW w:w="3216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4859F98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Tarea Preventiva de TI</w:t>
            </w:r>
          </w:p>
        </w:tc>
        <w:tc>
          <w:tcPr>
            <w:tcW w:w="3216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548463C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Responsable</w:t>
            </w:r>
          </w:p>
        </w:tc>
      </w:tr>
      <w:tr w:rsidR="002225E9" w14:paraId="0D119622" w14:textId="77777777">
        <w:trPr>
          <w:jc w:val="center"/>
        </w:trPr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E428F2B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b/>
                <w:color w:val="263238"/>
                <w:sz w:val="17"/>
              </w:rPr>
              <w:t>Diaria</w:t>
            </w:r>
          </w:p>
        </w:tc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A7B3731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Verificar que iniciar_backend.bat o el servicio NSSM esté en ejecución.</w:t>
            </w:r>
          </w:p>
        </w:tc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4013316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Soporte de Turno</w:t>
            </w:r>
          </w:p>
        </w:tc>
      </w:tr>
      <w:tr w:rsidR="002225E9" w14:paraId="0D12F288" w14:textId="77777777">
        <w:trPr>
          <w:jc w:val="center"/>
        </w:trPr>
        <w:tc>
          <w:tcPr>
            <w:tcW w:w="32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6B9403C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b/>
                <w:color w:val="263238"/>
                <w:sz w:val="17"/>
              </w:rPr>
              <w:t>Semanal</w:t>
            </w:r>
          </w:p>
        </w:tc>
        <w:tc>
          <w:tcPr>
            <w:tcW w:w="32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BE22C3E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Comprobar la generación de copias en backups_seguridad/ y transferir a NAS.</w:t>
            </w:r>
          </w:p>
        </w:tc>
        <w:tc>
          <w:tcPr>
            <w:tcW w:w="32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EC81678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Administrador TI</w:t>
            </w:r>
          </w:p>
        </w:tc>
      </w:tr>
      <w:tr w:rsidR="002225E9" w14:paraId="327A57DC" w14:textId="77777777">
        <w:trPr>
          <w:jc w:val="center"/>
        </w:trPr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AEF057A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b/>
                <w:color w:val="263238"/>
                <w:sz w:val="17"/>
              </w:rPr>
              <w:t>Mensual</w:t>
            </w:r>
          </w:p>
        </w:tc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EB1EA65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Ejecutar 'Compactar y Reparar base de datos' en Access fuera de horario laboral.</w:t>
            </w:r>
          </w:p>
        </w:tc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A79ECB2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DBA / Encargado TI</w:t>
            </w:r>
          </w:p>
        </w:tc>
      </w:tr>
    </w:tbl>
    <w:p w14:paraId="1A895BAE" w14:textId="77777777" w:rsidR="002225E9" w:rsidRDefault="002225E9">
      <w:pPr>
        <w:spacing w:after="100"/>
      </w:pPr>
    </w:p>
    <w:p w14:paraId="228EE400" w14:textId="77777777" w:rsidR="002225E9" w:rsidRDefault="00E76C61">
      <w:pPr>
        <w:spacing w:before="280" w:after="80"/>
      </w:pPr>
      <w:r>
        <w:rPr>
          <w:b/>
          <w:color w:val="C8E6C9"/>
        </w:rPr>
        <w:t>―――――――――――――――――――――――――――――――――――――――――――――――――――――――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48"/>
      </w:tblGrid>
      <w:tr w:rsidR="002225E9" w:rsidRPr="00FB314E" w14:paraId="1096452E" w14:textId="77777777">
        <w:trPr>
          <w:jc w:val="center"/>
        </w:trPr>
        <w:tc>
          <w:tcPr>
            <w:tcW w:w="9648" w:type="dxa"/>
            <w:tcBorders>
              <w:left w:val="single" w:sz="36" w:space="0" w:color="2E7D32"/>
            </w:tcBorders>
            <w:shd w:val="clear" w:color="auto" w:fill="F1F8E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ECD99E8" w14:textId="77777777" w:rsidR="002225E9" w:rsidRPr="00FB314E" w:rsidRDefault="00E76C61">
            <w:pPr>
              <w:spacing w:after="40"/>
              <w:rPr>
                <w:lang w:val="es-CO"/>
              </w:rPr>
            </w:pPr>
            <w:r w:rsidRPr="00FB314E">
              <w:rPr>
                <w:b/>
                <w:color w:val="1B5E20"/>
                <w:sz w:val="20"/>
                <w:lang w:val="es-CO"/>
              </w:rPr>
              <w:t>DOCUMENTO TÉCNICO APROBADO Y CERTIFICADO</w:t>
            </w:r>
            <w:r w:rsidRPr="00FB314E">
              <w:rPr>
                <w:b/>
                <w:color w:val="1B5E20"/>
                <w:sz w:val="20"/>
                <w:lang w:val="es-CO"/>
              </w:rPr>
              <w:br/>
            </w:r>
            <w:r w:rsidRPr="00FB314E">
              <w:rPr>
                <w:b/>
                <w:color w:val="263238"/>
                <w:sz w:val="19"/>
                <w:lang w:val="es-CO"/>
              </w:rPr>
              <w:t>Ingeniería y Desarrollo: Fernan Julián Pérez Gutiérrez</w:t>
            </w:r>
            <w:r w:rsidRPr="00FB314E">
              <w:rPr>
                <w:b/>
                <w:color w:val="263238"/>
                <w:sz w:val="19"/>
                <w:lang w:val="es-CO"/>
              </w:rPr>
              <w:br/>
            </w:r>
            <w:r w:rsidRPr="00FB314E">
              <w:rPr>
                <w:color w:val="546E7A"/>
                <w:sz w:val="18"/>
                <w:lang w:val="es-CO"/>
              </w:rPr>
              <w:t>Identificador: FernanJPG1 • fernansecr@gmail.com</w:t>
            </w:r>
            <w:r w:rsidRPr="00FB314E">
              <w:rPr>
                <w:color w:val="546E7A"/>
                <w:sz w:val="18"/>
                <w:lang w:val="es-CO"/>
              </w:rPr>
              <w:br/>
            </w:r>
            <w:r w:rsidRPr="00FB314E">
              <w:rPr>
                <w:i/>
                <w:color w:val="558B2F"/>
                <w:sz w:val="17"/>
                <w:lang w:val="es-CO"/>
              </w:rPr>
              <w:t>Sistema de Siembras Offline-First • Buenavista Flowers • Octubre 2026</w:t>
            </w:r>
          </w:p>
        </w:tc>
      </w:tr>
    </w:tbl>
    <w:p w14:paraId="6FE8BEC3" w14:textId="77777777" w:rsidR="00E76C61" w:rsidRPr="00FB314E" w:rsidRDefault="00E76C61">
      <w:pPr>
        <w:rPr>
          <w:lang w:val="es-CO"/>
        </w:rPr>
      </w:pPr>
    </w:p>
    <w:p>
      <w:pPr>
        <w:pStyle w:val="Ttulo1"/>
        <w:spacing w:before="280" w:after="120"/>
      </w:pPr>
      <w:r>
        <w:t>ESPECIFICACIÓN TÉCNICA: MÓDULO DE LIRIOS, MODELO DE CANASTAS Y ARQUITECTURA DE UI RESPONSIVA</w:t>
      </w:r>
    </w:p>
    <w:p>
      <w:r>
        <w:t>El módulo de Lirios incorpora una arquitectura especializada tanto a nivel de persistencia de datos (SQLite local y sincronización con Microsoft Access) como a nivel de capa de presentación en Flutter (prevención de desbordes gráficos y scroll elástico continuo).</w:t>
      </w:r>
    </w:p>
    <w:p>
      <w:pPr>
        <w:pStyle w:val="Ttulo2"/>
      </w:pPr>
      <w:r>
        <w:t>1. Estructura de Datos y Modelo Relacional SQLite</w:t>
      </w:r>
    </w:p>
    <w:p>
      <w:r>
        <w:t>• Tabla tb_lirios_canastas:</w:t>
        <w:br/>
        <w:t xml:space="preserve">  - Definición DDL: CREATE TABLE IF NOT EXISTS tb_lirios_canastas (id INTEGER PRIMARY KEY AUTOINCREMENT, uuid TEXT UNIQUE, fecha TEXT NOT NULL, subgrupo TEXT NOT NULL, operario_id INTEGER NOT NULL, operario_nombre TEXT, cantidad_bulbos INTEGER NOT NULL, hora TEXT, sincronizado INTEGER DEFAULT 0, observaciones TEXT);</w:t>
        <w:br/>
        <w:t xml:space="preserve">  - Índices de Rendimiento: idx_lirios_canastas_fecha, idx_lirios_canastas_subgrupo, idx_lirios_canastas_operario.</w:t>
        <w:br/>
        <w:t xml:space="preserve">  - Propósito: Auditar las entregas de canastas en tiempo real sin interferir con la tabla principal de siembras en camas.</w:t>
        <w:br/>
        <w:t>• Catálogo de Importación tb_lirios_187:</w:t>
        <w:br/>
        <w:t xml:space="preserve">  - Definición DDL: CREATE TABLE IF NOT EXISTS tb_lirios_187 (id INTEGER PRIMARY KEY AUTOINCREMENT, proveedor TEXT, contenedor TEXT, lote TEXT, variedad TEXT, variedad_id INTEGER);</w:t>
        <w:br/>
        <w:t xml:space="preserve">  - Estrategia de Sincronización: Método dbRepo.reemplazarLirios187() ejecuta un borrado y lote masivo atómico dentro de una transacción SQLite única (batch.insert).</w:t>
      </w:r>
    </w:p>
    <w:p>
      <w:pPr>
        <w:pStyle w:val="Ttulo2"/>
      </w:pPr>
      <w:r>
        <w:t>2. Reglas Agronómicas y Desacoplamiento de Cama</w:t>
      </w:r>
    </w:p>
    <w:p>
      <w:r>
        <w:t>• Densidades Fijas por Parrilla: 143 bulbos por parrilla para Lirio LA; 63 bulbos por parrilla para Lirios LO y OT.</w:t>
        <w:br/>
        <w:t>• Desacoplamiento de Operario: Las siembras de Lirios en cama registran operario_id = 0 de forma análoga a Plantas Madre y Núcleos de Propagación, habilitando el registro de camas trabajadas en cuadrilla sin distorsionar el motor de rendimiento individual, el cual se calcula de forma autónoma a partir de tb_lirios_canastas.</w:t>
        <w:br/>
        <w:t>• Canastas Estándar Parametrizadas: Mapa _canastasOpciones define [400, 425, 450] para LA y [200, 225, 250] para LO/OT, permitiendo adicionalmente registros personalizados con validación numérica estricta.</w:t>
      </w:r>
    </w:p>
    <w:p>
      <w:pPr>
        <w:pStyle w:val="Ttulo2"/>
      </w:pPr>
      <w:r>
        <w:t>3. Arquitectura de Interfaz Responsiva y Mitigación de Desbordes (RenderFlex Overflow)</w:t>
      </w:r>
    </w:p>
    <w:p>
      <w:r>
        <w:t>• Mitigación de Desbordes Horizontales (_buildStatRow):</w:t>
        <w:br/>
        <w:t xml:space="preserve">  - Causa Raíz del Defecto: El uso previo de filas Row no acotadas con widgets Text adyacentes causaba excepciones RenderFlex overflowed (visibles en pantalla como barras rayadas amarillas y negras) ante nombres de proveedores extensos (ej. compañías holandesas de exportación) o números de lote largos.</w:t>
        <w:br/>
        <w:t xml:space="preserve">  - Solución Implementada: Normalización de _buildStatRow empleando Expanded(flex: 4) para la etiqueta y Expanded(flex: 6) para el valor, con soporte de alineación a la derecha y salto multilínea automático sin pérdida de visibilidad.</w:t>
        <w:br/>
        <w:t>• Componentes de Tarjetas de Compra con Chips Adaptativos:</w:t>
        <w:br/>
        <w:t xml:space="preserve">  - Implementación de _buildChipDetalle y _buildMiniChip basados en Wrap con márgenes simétricos y contenedores BoxDecoration con bordes verdes suaves (#81C784, #A5D6A7), permitiendo que los atributos de importación (Lote, Proveedor, Contenedor, Variedad) fluyan armónicamente en cualquier resolución o proporción de aspecto.</w:t>
        <w:br/>
        <w:t>• Resiliencia de Viewport y Manejo de Teclado Virtual en Modales:</w:t>
        <w:br/>
        <w:t xml:space="preserve">  - En showModalBottomSheet (_abrirModalEntregaCanasta y _mostrarDetalleSiembra), el contenido está encapsulado dentro de ConstrainedBox(maxHeight: 0.90 * height) y SingleChildScrollView(physics: BouncingScrollPhysics()), compensando dinámicamente MediaQuery.of(ctx).viewInsets.bottom.</w:t>
        <w:br/>
        <w:t xml:space="preserve">  - Esto previene el bloqueo de desplazamiento ("no me deja bajar") y asegura que los botones táctiles y campos de texto permanezcan siempre accesibles cuando se despliega el teclado numérico en Android.</w:t>
        <w:br/>
        <w:t>• Scrollability Universal en Listas de Operarios:</w:t>
        <w:br/>
        <w:t xml:space="preserve">  - Aplicación de AlwaysScrollableScrollPhysics con margen inferior de 70 px en RendimientoLiriosScreen y RendimientoDialog, garantizando que el usuario pueda bajar continuamente hasta el último registro sin que la barra de navegación del sistema operativo lo oculte.</w:t>
      </w:r>
    </w:p>
    <w:sectPr w:rsidR="00E76C61" w:rsidRPr="00FB314E" w:rsidSect="00034616">
      <w:headerReference w:type="default" r:id="rId8"/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6026D4" w14:textId="77777777" w:rsidR="00E76C61" w:rsidRDefault="00E76C61">
      <w:pPr>
        <w:spacing w:after="0" w:line="240" w:lineRule="auto"/>
      </w:pPr>
      <w:r>
        <w:separator/>
      </w:r>
    </w:p>
  </w:endnote>
  <w:endnote w:type="continuationSeparator" w:id="0">
    <w:p w14:paraId="7AB0FE44" w14:textId="77777777" w:rsidR="00E76C61" w:rsidRDefault="00E76C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EF909" w14:textId="77777777" w:rsidR="002225E9" w:rsidRPr="00FB314E" w:rsidRDefault="00E76C61">
    <w:pPr>
      <w:pStyle w:val="Piedepgina"/>
      <w:jc w:val="center"/>
      <w:rPr>
        <w:lang w:val="es-CO"/>
      </w:rPr>
    </w:pPr>
    <w:r w:rsidRPr="00FB314E">
      <w:rPr>
        <w:lang w:val="es-CO"/>
      </w:rPr>
      <w:t>Desarrollado por: Fernan Julián Pérez Gutiérrez (FernanJPG1) • Confidencial Empresarial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6DF419" w14:textId="77777777" w:rsidR="00E76C61" w:rsidRDefault="00E76C61">
      <w:pPr>
        <w:spacing w:after="0" w:line="240" w:lineRule="auto"/>
      </w:pPr>
      <w:r>
        <w:separator/>
      </w:r>
    </w:p>
  </w:footnote>
  <w:footnote w:type="continuationSeparator" w:id="0">
    <w:p w14:paraId="25A2BC12" w14:textId="77777777" w:rsidR="00E76C61" w:rsidRDefault="00E76C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F37D18" w14:textId="77777777" w:rsidR="002225E9" w:rsidRPr="00FB314E" w:rsidRDefault="00E76C61">
    <w:pPr>
      <w:pStyle w:val="Encabezado"/>
      <w:jc w:val="right"/>
      <w:rPr>
        <w:lang w:val="es-CO"/>
      </w:rPr>
    </w:pPr>
    <w:r w:rsidRPr="00FB314E">
      <w:rPr>
        <w:lang w:val="es-CO"/>
      </w:rPr>
      <w:t>BUENAVISTA FLOWERS • SISTEMA INTEGRAL DE SIEMBRAS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74839908">
    <w:abstractNumId w:val="8"/>
  </w:num>
  <w:num w:numId="2" w16cid:durableId="946043685">
    <w:abstractNumId w:val="6"/>
  </w:num>
  <w:num w:numId="3" w16cid:durableId="194193316">
    <w:abstractNumId w:val="5"/>
  </w:num>
  <w:num w:numId="4" w16cid:durableId="552405">
    <w:abstractNumId w:val="4"/>
  </w:num>
  <w:num w:numId="5" w16cid:durableId="509031159">
    <w:abstractNumId w:val="7"/>
  </w:num>
  <w:num w:numId="6" w16cid:durableId="791291965">
    <w:abstractNumId w:val="3"/>
  </w:num>
  <w:num w:numId="7" w16cid:durableId="1613783246">
    <w:abstractNumId w:val="2"/>
  </w:num>
  <w:num w:numId="8" w16cid:durableId="1837068121">
    <w:abstractNumId w:val="1"/>
  </w:num>
  <w:num w:numId="9" w16cid:durableId="11118242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25E9"/>
    <w:rsid w:val="0029639D"/>
    <w:rsid w:val="00326F90"/>
    <w:rsid w:val="004B56A7"/>
    <w:rsid w:val="00AA1D8D"/>
    <w:rsid w:val="00B47730"/>
    <w:rsid w:val="00CB0664"/>
    <w:rsid w:val="00E76C61"/>
    <w:rsid w:val="00FB314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C151F8B"/>
  <w14:defaultImageDpi w14:val="300"/>
  <w15:docId w15:val="{3A090E21-E224-4B61-B9C5-954C60328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E9E9E"/>
      <w:sz w:val="16"/>
    </w:r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E9E9E"/>
      <w:sz w:val="16"/>
    </w:r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1285</Words>
  <Characters>7072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Gustavo Montoya</cp:lastModifiedBy>
  <cp:revision>2</cp:revision>
  <dcterms:created xsi:type="dcterms:W3CDTF">2013-12-23T23:15:00Z</dcterms:created>
  <dcterms:modified xsi:type="dcterms:W3CDTF">2026-10-03T12:02:00Z</dcterms:modified>
  <cp:category/>
</cp:coreProperties>
</file>